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1" w:leftChars="-95" w:right="-92" w:rightChars="-44" w:hanging="198" w:hangingChars="45"/>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《铜川市大气污染防治条例》修改前后</w:t>
      </w:r>
      <w:bookmarkStart w:id="0" w:name="_GoBack"/>
      <w:bookmarkEnd w:id="0"/>
      <w:r>
        <w:rPr>
          <w:rFonts w:hint="eastAsia" w:ascii="方正小标宋简体" w:hAnsi="方正小标宋简体" w:eastAsia="方正小标宋简体" w:cs="方正小标宋简体"/>
          <w:b w:val="0"/>
          <w:bCs/>
          <w:color w:val="auto"/>
          <w:sz w:val="44"/>
          <w:szCs w:val="44"/>
          <w:lang w:val="en-US" w:eastAsia="zh-CN"/>
        </w:rPr>
        <w:t>对照表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_GB2312" w:hAnsi="楷体_GB2312" w:eastAsia="楷体_GB2312" w:cs="楷体_GB2312"/>
          <w:b w:val="0"/>
          <w:bCs/>
          <w:color w:val="auto"/>
          <w:kern w:val="0"/>
          <w:sz w:val="24"/>
          <w:szCs w:val="24"/>
          <w:lang w:val="en-US" w:eastAsia="zh-CN"/>
        </w:rPr>
      </w:pPr>
      <w:r>
        <w:rPr>
          <w:rFonts w:hint="eastAsia" w:ascii="楷体_GB2312" w:hAnsi="楷体_GB2312" w:eastAsia="楷体_GB2312" w:cs="楷体_GB2312"/>
          <w:b w:val="0"/>
          <w:bCs/>
          <w:color w:val="auto"/>
          <w:kern w:val="0"/>
          <w:sz w:val="24"/>
          <w:szCs w:val="24"/>
          <w:lang w:val="en-US" w:eastAsia="zh-CN"/>
        </w:rPr>
        <w:t>（修改后的条文中，增加的内容用黑体字标注；删除的内容加方框标注）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楷体_GB2312" w:hAnsi="楷体_GB2312" w:eastAsia="楷体_GB2312" w:cs="楷体_GB2312"/>
          <w:b w:val="0"/>
          <w:bCs/>
          <w:color w:val="auto"/>
          <w:kern w:val="0"/>
          <w:sz w:val="24"/>
          <w:szCs w:val="24"/>
          <w:lang w:val="en-US" w:eastAsia="zh-CN"/>
        </w:rPr>
      </w:pPr>
    </w:p>
    <w:tbl>
      <w:tblPr>
        <w:tblStyle w:val="7"/>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3"/>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修改前</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修改后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经典粗宋简" w:hAnsi="Times New Roman" w:eastAsia="经典粗宋简"/>
                <w:color w:val="auto"/>
                <w:sz w:val="24"/>
                <w:szCs w:val="24"/>
              </w:rPr>
              <w:t>铜川市大气污染防治条例</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eastAsia="zh-CN"/>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无改动</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黑体" w:hAnsi="黑体" w:eastAsia="黑体" w:cs="宋体"/>
                <w:snapToGrid w:val="0"/>
                <w:color w:val="auto"/>
                <w:sz w:val="24"/>
                <w:szCs w:val="24"/>
              </w:rPr>
            </w:pPr>
            <w:r>
              <w:rPr>
                <w:rFonts w:hint="eastAsia" w:ascii="黑体" w:hAnsi="黑体" w:eastAsia="黑体" w:cs="宋体"/>
                <w:snapToGrid w:val="0"/>
                <w:color w:val="auto"/>
                <w:sz w:val="24"/>
                <w:szCs w:val="24"/>
              </w:rPr>
              <w:t>目  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第一章  总    则</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第二章  一般规定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第三章  防治措施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第四章  法律责任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第五章  附    则</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eastAsia="zh-CN"/>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无改动</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黑体" w:hAnsi="黑体" w:eastAsia="黑体" w:cs="宋体"/>
                <w:snapToGrid w:val="0"/>
                <w:color w:val="auto"/>
                <w:sz w:val="24"/>
                <w:szCs w:val="24"/>
              </w:rPr>
              <w:t>第一章  总  则</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第一条</w:t>
            </w:r>
            <w:r>
              <w:rPr>
                <w:rFonts w:hint="eastAsia" w:ascii="仿宋_GB2312" w:eastAsia="仿宋_GB2312" w:cs="宋体"/>
                <w:snapToGrid w:val="0"/>
                <w:color w:val="auto"/>
                <w:sz w:val="24"/>
                <w:szCs w:val="24"/>
              </w:rPr>
              <w:t xml:space="preserve">  为保护和改善环境，防治大气污染，保障公众健康，推进生态文明建设，促进经济社会可持续发展，根据《中华人民共和国环境保护法》《中华人民共和国大气污染防治法》《陕西省大气污染防治条例》及有关法律、法规，结合本市实际，制定本条例。</w:t>
            </w:r>
          </w:p>
        </w:tc>
        <w:tc>
          <w:tcPr>
            <w:tcW w:w="4714"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第一条</w:t>
            </w:r>
            <w:r>
              <w:rPr>
                <w:rFonts w:hint="eastAsia" w:ascii="仿宋_GB2312" w:eastAsia="仿宋_GB2312" w:cs="宋体"/>
                <w:snapToGrid w:val="0"/>
                <w:color w:val="auto"/>
                <w:sz w:val="24"/>
                <w:szCs w:val="24"/>
              </w:rPr>
              <w:t xml:space="preserve">  为</w:t>
            </w:r>
            <w:r>
              <w:rPr>
                <w:rFonts w:hint="eastAsia" w:ascii="黑体" w:hAnsi="黑体" w:eastAsia="黑体" w:cs="宋体"/>
                <w:b/>
                <w:bCs/>
                <w:snapToGrid w:val="0"/>
                <w:color w:val="auto"/>
                <w:sz w:val="24"/>
                <w:szCs w:val="24"/>
                <w:lang w:val="en-US" w:eastAsia="zh-CN"/>
              </w:rPr>
              <w:t>了</w:t>
            </w:r>
            <w:r>
              <w:rPr>
                <w:rFonts w:hint="eastAsia" w:ascii="仿宋_GB2312" w:eastAsia="仿宋_GB2312" w:cs="宋体"/>
                <w:snapToGrid w:val="0"/>
                <w:color w:val="auto"/>
                <w:sz w:val="24"/>
                <w:szCs w:val="24"/>
              </w:rPr>
              <w:t>保护和改善环境，防治大气污染，保障公众健康，推进生态文明建设，促进经济社会可持续发展，根据</w:t>
            </w:r>
            <w:r>
              <w:rPr>
                <w:rFonts w:hint="eastAsia" w:ascii="仿宋_GB2312" w:eastAsia="仿宋_GB2312" w:cs="宋体"/>
                <w:snapToGrid w:val="0"/>
                <w:color w:val="auto"/>
                <w:sz w:val="24"/>
                <w:szCs w:val="24"/>
                <w:bdr w:val="single" w:color="000000" w:sz="4" w:space="0"/>
              </w:rPr>
              <w:t>《中华人民共和国环境保护法》《中华人民共和国大气污染防治法》《陕西省大气污染防治条例》及有关</w:t>
            </w:r>
            <w:r>
              <w:rPr>
                <w:rFonts w:hint="eastAsia" w:ascii="黑体" w:hAnsi="黑体" w:eastAsia="黑体" w:cs="宋体"/>
                <w:b/>
                <w:bCs/>
                <w:snapToGrid w:val="0"/>
                <w:color w:val="auto"/>
                <w:sz w:val="24"/>
                <w:szCs w:val="24"/>
                <w:lang w:val="en-US" w:eastAsia="zh-CN"/>
              </w:rPr>
              <w:t>《中华人民共和国生态环境法典》等</w:t>
            </w:r>
            <w:r>
              <w:rPr>
                <w:rFonts w:hint="eastAsia" w:ascii="仿宋_GB2312" w:eastAsia="仿宋_GB2312" w:cs="宋体"/>
                <w:snapToGrid w:val="0"/>
                <w:color w:val="auto"/>
                <w:sz w:val="24"/>
                <w:szCs w:val="24"/>
              </w:rPr>
              <w:t>法律</w:t>
            </w:r>
            <w:r>
              <w:rPr>
                <w:rFonts w:hint="eastAsia" w:ascii="仿宋_GB2312" w:eastAsia="仿宋_GB2312" w:cs="宋体"/>
                <w:snapToGrid w:val="0"/>
                <w:color w:val="auto"/>
                <w:sz w:val="24"/>
                <w:szCs w:val="24"/>
                <w:bdr w:val="single" w:color="000000" w:sz="4" w:space="0"/>
              </w:rPr>
              <w:t>、</w:t>
            </w:r>
            <w:r>
              <w:rPr>
                <w:rFonts w:hint="eastAsia" w:ascii="仿宋_GB2312" w:eastAsia="仿宋_GB2312" w:cs="宋体"/>
                <w:snapToGrid w:val="0"/>
                <w:color w:val="auto"/>
                <w:sz w:val="24"/>
                <w:szCs w:val="24"/>
              </w:rPr>
              <w:t>法规，结合本市实际，制定本条例。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第二条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本条例适用于本市行政区域内的大气污染防治及其监督管理活动。</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val="en-US" w:eastAsia="zh-CN"/>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第三条</w:t>
            </w:r>
            <w:r>
              <w:rPr>
                <w:rFonts w:hint="eastAsia" w:ascii="仿宋_GB2312" w:eastAsia="仿宋_GB2312" w:cs="宋体"/>
                <w:snapToGrid w:val="0"/>
                <w:color w:val="auto"/>
                <w:sz w:val="24"/>
                <w:szCs w:val="24"/>
              </w:rPr>
              <w:t xml:space="preserve">  防治大气污染应当以改善大气环境质量为目标，以治理颗粒物污染与臭氧污染为重点，坚持源头治理、规划先行、公众参与、损害担责的原则，转变经济发展方式，调整产业结构、能源结构和运输结构，优化空间布局，持续改善大气环境质量。</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eastAsia="zh-CN"/>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第四条</w:t>
            </w:r>
            <w:r>
              <w:rPr>
                <w:rFonts w:hint="eastAsia" w:ascii="仿宋_GB2312" w:eastAsia="仿宋_GB2312" w:cs="宋体"/>
                <w:snapToGrid w:val="0"/>
                <w:color w:val="auto"/>
                <w:sz w:val="24"/>
                <w:szCs w:val="24"/>
              </w:rPr>
              <w:t xml:space="preserve">  本市各级人民政府对本行政区域的大气环境质量负责，制定规划，采取措施，控制或者逐步削减大气污染物的排放量，使大气环境质量达到规定标准并逐步改善。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市、区（县）人民政府应当将大气污染防治工作纳入国民经济和社会发展规划以及年度计划，加大对大气污染防治的财政投入。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村（居）民委员会在乡镇人民政府、街道办事处的指导下协助做好大气污染防治工作。</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第三条</w:t>
            </w:r>
            <w:r>
              <w:rPr>
                <w:rFonts w:hint="eastAsia" w:ascii="黑体" w:hAnsi="黑体" w:eastAsia="黑体" w:cs="黑体"/>
                <w:snapToGrid w:val="0"/>
                <w:color w:val="auto"/>
                <w:sz w:val="24"/>
                <w:szCs w:val="24"/>
                <w:bdr w:val="single" w:color="000000" w:sz="4" w:space="0"/>
              </w:rPr>
              <w:t>第四条</w:t>
            </w:r>
            <w:r>
              <w:rPr>
                <w:rFonts w:hint="eastAsia" w:ascii="仿宋_GB2312" w:eastAsia="仿宋_GB2312" w:cs="宋体"/>
                <w:snapToGrid w:val="0"/>
                <w:color w:val="auto"/>
                <w:sz w:val="24"/>
                <w:szCs w:val="24"/>
                <w:bdr w:val="single" w:color="000000" w:sz="4" w:space="0"/>
              </w:rPr>
              <w:t xml:space="preserve">  本市各级人民政府对本行政区域的大气环境质量负责，制定规划，采取措施，控制或者逐步削减大气污染物的排放量，使大气环境质量达到规定标准并逐步改善。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人民政府应当将大气污染防治工作纳入国民经济和社会发展规划</w:t>
            </w:r>
            <w:r>
              <w:rPr>
                <w:rFonts w:hint="eastAsia" w:ascii="仿宋_GB2312" w:eastAsia="仿宋_GB2312" w:cs="宋体"/>
                <w:snapToGrid w:val="0"/>
                <w:color w:val="auto"/>
                <w:sz w:val="24"/>
                <w:szCs w:val="24"/>
                <w:u w:val="none" w:color="auto"/>
              </w:rPr>
              <w:t>以及年度计划</w:t>
            </w:r>
            <w:r>
              <w:rPr>
                <w:rFonts w:hint="eastAsia" w:ascii="仿宋_GB2312" w:eastAsia="仿宋_GB2312" w:cs="宋体"/>
                <w:snapToGrid w:val="0"/>
                <w:color w:val="auto"/>
                <w:sz w:val="24"/>
                <w:szCs w:val="24"/>
              </w:rPr>
              <w:t>，加大对大气污染防治的财政投入。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村（居）民委员会在乡镇人民政府、街道办事处的指导下协助做好大气污染防治工作。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 xml:space="preserve">市生态环境主管部门对大气污染防治实施统一监督管理。 </w:t>
            </w:r>
          </w:p>
          <w:p>
            <w:pPr>
              <w:keepNext w:val="0"/>
              <w:keepLines w:val="0"/>
              <w:pageBreakBefore w:val="0"/>
              <w:widowControl w:val="0"/>
              <w:kinsoku/>
              <w:wordWrap/>
              <w:overflowPunct/>
              <w:topLinePunct w:val="0"/>
              <w:autoSpaceDE/>
              <w:autoSpaceDN/>
              <w:bidi w:val="0"/>
              <w:adjustRightInd/>
              <w:snapToGrid/>
              <w:spacing w:line="460" w:lineRule="exact"/>
              <w:ind w:firstLine="492" w:firstLineChars="200"/>
              <w:jc w:val="both"/>
              <w:textAlignment w:val="auto"/>
              <w:rPr>
                <w:color w:val="auto"/>
                <w:sz w:val="24"/>
                <w:szCs w:val="24"/>
                <w:vertAlign w:val="baseline"/>
              </w:rPr>
            </w:pPr>
            <w:r>
              <w:rPr>
                <w:rFonts w:hint="eastAsia" w:ascii="仿宋_GB2312" w:eastAsia="仿宋_GB2312" w:cs="宋体"/>
                <w:snapToGrid w:val="0"/>
                <w:color w:val="auto"/>
                <w:spacing w:val="3"/>
                <w:sz w:val="24"/>
                <w:szCs w:val="24"/>
              </w:rPr>
              <w:t>发展改革、工信、公安、自然资源、住建、交通运输、水务、农业农村、商务、市场监管、城市管理执法、行政审批服务、能源、气象以及其他有关部门依照法律、法规以及政府确定的职责分工，在各自职责范围内，对大气污染防治实施监督管理。</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第四条</w:t>
            </w:r>
            <w:r>
              <w:rPr>
                <w:rFonts w:hint="eastAsia" w:ascii="黑体" w:hAnsi="黑体" w:eastAsia="黑体" w:cs="宋体"/>
                <w:snapToGrid w:val="0"/>
                <w:color w:val="auto"/>
                <w:sz w:val="24"/>
                <w:szCs w:val="24"/>
                <w:bdr w:val="single" w:color="000000" w:sz="4" w:space="0"/>
              </w:rPr>
              <w:t>第五条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市生态环境主管部门对大气污染</w:t>
            </w:r>
            <w:r>
              <w:rPr>
                <w:rFonts w:hint="eastAsia" w:ascii="仿宋_GB2312" w:eastAsia="仿宋_GB2312" w:cs="宋体"/>
                <w:snapToGrid w:val="0"/>
                <w:color w:val="auto"/>
                <w:sz w:val="24"/>
                <w:szCs w:val="24"/>
                <w:lang w:val="en-US" w:eastAsia="zh-CN"/>
              </w:rPr>
              <w:t>防治</w:t>
            </w:r>
            <w:r>
              <w:rPr>
                <w:rFonts w:hint="eastAsia" w:ascii="黑体" w:hAnsi="黑体" w:eastAsia="黑体" w:cs="宋体"/>
                <w:b/>
                <w:bCs/>
                <w:snapToGrid w:val="0"/>
                <w:color w:val="auto"/>
                <w:sz w:val="24"/>
                <w:szCs w:val="24"/>
                <w:lang w:val="en-US" w:eastAsia="zh-CN"/>
              </w:rPr>
              <w:t>工作</w:t>
            </w:r>
            <w:r>
              <w:rPr>
                <w:rFonts w:hint="eastAsia" w:ascii="仿宋_GB2312" w:eastAsia="仿宋_GB2312" w:cs="宋体"/>
                <w:snapToGrid w:val="0"/>
                <w:color w:val="auto"/>
                <w:sz w:val="24"/>
                <w:szCs w:val="24"/>
              </w:rPr>
              <w:t xml:space="preserve">实施统一监督管理。 </w:t>
            </w:r>
          </w:p>
          <w:p>
            <w:pPr>
              <w:keepNext w:val="0"/>
              <w:keepLines w:val="0"/>
              <w:pageBreakBefore w:val="0"/>
              <w:widowControl w:val="0"/>
              <w:kinsoku/>
              <w:wordWrap/>
              <w:overflowPunct/>
              <w:topLinePunct w:val="0"/>
              <w:autoSpaceDE/>
              <w:autoSpaceDN/>
              <w:bidi w:val="0"/>
              <w:adjustRightInd/>
              <w:snapToGrid/>
              <w:spacing w:line="460" w:lineRule="exact"/>
              <w:ind w:firstLine="492" w:firstLineChars="200"/>
              <w:jc w:val="both"/>
              <w:textAlignment w:val="auto"/>
              <w:rPr>
                <w:color w:val="auto"/>
                <w:sz w:val="24"/>
                <w:szCs w:val="24"/>
                <w:vertAlign w:val="baseline"/>
              </w:rPr>
            </w:pPr>
            <w:r>
              <w:rPr>
                <w:rFonts w:hint="eastAsia" w:ascii="仿宋_GB2312" w:eastAsia="仿宋_GB2312" w:cs="宋体"/>
                <w:snapToGrid w:val="0"/>
                <w:color w:val="auto"/>
                <w:spacing w:val="3"/>
                <w:sz w:val="24"/>
                <w:szCs w:val="24"/>
              </w:rPr>
              <w:t>发展改革、</w:t>
            </w:r>
            <w:r>
              <w:rPr>
                <w:rFonts w:hint="eastAsia" w:ascii="仿宋_GB2312" w:eastAsia="仿宋_GB2312" w:cs="宋体"/>
                <w:snapToGrid w:val="0"/>
                <w:color w:val="auto"/>
                <w:spacing w:val="3"/>
                <w:sz w:val="24"/>
                <w:szCs w:val="24"/>
                <w:u w:val="none"/>
                <w:bdr w:val="single" w:color="000000" w:sz="4" w:space="0"/>
              </w:rPr>
              <w:t>工信</w:t>
            </w:r>
            <w:r>
              <w:rPr>
                <w:rFonts w:hint="eastAsia" w:ascii="黑体" w:hAnsi="黑体" w:eastAsia="黑体" w:cs="宋体"/>
                <w:b/>
                <w:bCs/>
                <w:snapToGrid w:val="0"/>
                <w:color w:val="auto"/>
                <w:sz w:val="24"/>
                <w:szCs w:val="24"/>
                <w:lang w:val="en-US" w:eastAsia="zh-CN"/>
              </w:rPr>
              <w:t>工业和信息化</w:t>
            </w:r>
            <w:r>
              <w:rPr>
                <w:rFonts w:hint="eastAsia" w:ascii="仿宋_GB2312" w:eastAsia="仿宋_GB2312" w:cs="宋体"/>
                <w:snapToGrid w:val="0"/>
                <w:color w:val="auto"/>
                <w:spacing w:val="3"/>
                <w:sz w:val="24"/>
                <w:szCs w:val="24"/>
              </w:rPr>
              <w:t>、公安、自然资源、</w:t>
            </w:r>
            <w:r>
              <w:rPr>
                <w:rFonts w:hint="eastAsia" w:ascii="仿宋_GB2312" w:eastAsia="仿宋_GB2312" w:cs="宋体"/>
                <w:snapToGrid w:val="0"/>
                <w:color w:val="auto"/>
                <w:spacing w:val="3"/>
                <w:sz w:val="24"/>
                <w:szCs w:val="24"/>
                <w:u w:val="none"/>
                <w:bdr w:val="single" w:color="000000" w:sz="4" w:space="0"/>
              </w:rPr>
              <w:t>住建</w:t>
            </w:r>
            <w:r>
              <w:rPr>
                <w:rFonts w:hint="eastAsia" w:ascii="黑体" w:hAnsi="黑体" w:eastAsia="黑体" w:cs="宋体"/>
                <w:b/>
                <w:bCs/>
                <w:snapToGrid w:val="0"/>
                <w:color w:val="auto"/>
                <w:sz w:val="24"/>
                <w:szCs w:val="24"/>
                <w:lang w:val="en-US" w:eastAsia="zh-CN"/>
              </w:rPr>
              <w:t>住房城乡建设</w:t>
            </w:r>
            <w:r>
              <w:rPr>
                <w:rFonts w:hint="eastAsia" w:ascii="仿宋_GB2312" w:eastAsia="仿宋_GB2312" w:cs="宋体"/>
                <w:snapToGrid w:val="0"/>
                <w:color w:val="auto"/>
                <w:spacing w:val="3"/>
                <w:sz w:val="24"/>
                <w:szCs w:val="24"/>
              </w:rPr>
              <w:t>、交通运输、水务、农业农村、商务、</w:t>
            </w:r>
            <w:r>
              <w:rPr>
                <w:rFonts w:hint="eastAsia" w:ascii="仿宋_GB2312" w:eastAsia="仿宋_GB2312" w:cs="宋体"/>
                <w:snapToGrid w:val="0"/>
                <w:color w:val="auto"/>
                <w:spacing w:val="3"/>
                <w:sz w:val="24"/>
                <w:szCs w:val="24"/>
                <w:u w:val="none"/>
              </w:rPr>
              <w:t>市场监</w:t>
            </w:r>
            <w:r>
              <w:rPr>
                <w:rFonts w:hint="eastAsia" w:ascii="黑体" w:hAnsi="黑体" w:eastAsia="黑体" w:cs="宋体"/>
                <w:b/>
                <w:bCs/>
                <w:snapToGrid w:val="0"/>
                <w:color w:val="auto"/>
                <w:sz w:val="24"/>
                <w:szCs w:val="24"/>
                <w:u w:val="none"/>
                <w:lang w:val="en-US" w:eastAsia="zh-CN"/>
              </w:rPr>
              <w:t>督</w:t>
            </w:r>
            <w:r>
              <w:rPr>
                <w:rFonts w:hint="eastAsia" w:ascii="仿宋_GB2312" w:eastAsia="仿宋_GB2312" w:cs="宋体"/>
                <w:snapToGrid w:val="0"/>
                <w:color w:val="auto"/>
                <w:spacing w:val="3"/>
                <w:sz w:val="24"/>
                <w:szCs w:val="24"/>
                <w:u w:val="none"/>
              </w:rPr>
              <w:t>管</w:t>
            </w:r>
            <w:r>
              <w:rPr>
                <w:rFonts w:hint="eastAsia" w:ascii="黑体" w:hAnsi="黑体" w:eastAsia="黑体" w:cs="宋体"/>
                <w:b/>
                <w:bCs/>
                <w:snapToGrid w:val="0"/>
                <w:color w:val="auto"/>
                <w:sz w:val="24"/>
                <w:szCs w:val="24"/>
                <w:u w:val="none"/>
                <w:lang w:val="en-US" w:eastAsia="zh-CN"/>
              </w:rPr>
              <w:t>理</w:t>
            </w:r>
            <w:r>
              <w:rPr>
                <w:rFonts w:hint="eastAsia" w:ascii="仿宋_GB2312" w:eastAsia="仿宋_GB2312" w:cs="宋体"/>
                <w:snapToGrid w:val="0"/>
                <w:color w:val="auto"/>
                <w:spacing w:val="3"/>
                <w:sz w:val="24"/>
                <w:szCs w:val="24"/>
              </w:rPr>
              <w:t>、</w:t>
            </w:r>
            <w:r>
              <w:rPr>
                <w:rFonts w:hint="eastAsia" w:ascii="仿宋_GB2312" w:eastAsia="仿宋_GB2312" w:cs="宋体"/>
                <w:snapToGrid w:val="0"/>
                <w:color w:val="auto"/>
                <w:spacing w:val="3"/>
                <w:sz w:val="24"/>
                <w:szCs w:val="24"/>
                <w:u w:val="none"/>
              </w:rPr>
              <w:t>城市管理执法</w:t>
            </w:r>
            <w:r>
              <w:rPr>
                <w:rFonts w:hint="eastAsia" w:ascii="仿宋_GB2312" w:eastAsia="仿宋_GB2312" w:cs="宋体"/>
                <w:snapToGrid w:val="0"/>
                <w:color w:val="auto"/>
                <w:spacing w:val="3"/>
                <w:sz w:val="24"/>
                <w:szCs w:val="24"/>
              </w:rPr>
              <w:t>、行政审批服务、能源、气象以及其他有关部门依照法律</w:t>
            </w:r>
            <w:r>
              <w:rPr>
                <w:rFonts w:hint="eastAsia" w:ascii="仿宋_GB2312" w:eastAsia="仿宋_GB2312" w:cs="宋体"/>
                <w:snapToGrid w:val="0"/>
                <w:color w:val="auto"/>
                <w:spacing w:val="3"/>
                <w:sz w:val="24"/>
                <w:szCs w:val="24"/>
                <w:bdr w:val="single" w:color="000000" w:sz="4" w:space="0"/>
              </w:rPr>
              <w:t>、</w:t>
            </w:r>
            <w:r>
              <w:rPr>
                <w:rFonts w:hint="eastAsia" w:ascii="仿宋_GB2312" w:eastAsia="仿宋_GB2312" w:cs="宋体"/>
                <w:snapToGrid w:val="0"/>
                <w:color w:val="auto"/>
                <w:spacing w:val="3"/>
                <w:sz w:val="24"/>
                <w:szCs w:val="24"/>
              </w:rPr>
              <w:t>法规以及政府确定的职责分工，在各自职责范围内，对大气污染防治</w:t>
            </w:r>
            <w:r>
              <w:rPr>
                <w:rFonts w:hint="eastAsia" w:ascii="黑体" w:hAnsi="黑体" w:eastAsia="黑体" w:cs="宋体"/>
                <w:b/>
                <w:bCs/>
                <w:snapToGrid w:val="0"/>
                <w:color w:val="auto"/>
                <w:sz w:val="24"/>
                <w:szCs w:val="24"/>
                <w:lang w:val="en-US" w:eastAsia="zh-CN"/>
              </w:rPr>
              <w:t>工作</w:t>
            </w:r>
            <w:r>
              <w:rPr>
                <w:rFonts w:hint="eastAsia" w:ascii="仿宋_GB2312" w:eastAsia="仿宋_GB2312" w:cs="宋体"/>
                <w:snapToGrid w:val="0"/>
                <w:color w:val="auto"/>
                <w:spacing w:val="3"/>
                <w:sz w:val="24"/>
                <w:szCs w:val="24"/>
              </w:rPr>
              <w:t>实施监督管理。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第六条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本市实行大气环境保护目标责任制和考核评价制度。市、区（县）人民政府应当将大气环境质量改善目标、大气污染防治重点任务完成情况纳入对有关部门</w:t>
            </w:r>
            <w:r>
              <w:rPr>
                <w:rFonts w:hint="eastAsia" w:ascii="仿宋_GB2312" w:eastAsia="仿宋_GB2312" w:cs="宋体"/>
                <w:snapToGrid w:val="0"/>
                <w:color w:val="auto"/>
                <w:sz w:val="24"/>
                <w:szCs w:val="24"/>
                <w:bdr w:val="single" w:color="000000" w:sz="4" w:space="0"/>
              </w:rPr>
              <w:t>及其负责人和下级人民政府及其负责人的</w:t>
            </w:r>
            <w:r>
              <w:rPr>
                <w:rFonts w:hint="eastAsia" w:ascii="仿宋_GB2312" w:eastAsia="仿宋_GB2312" w:cs="宋体"/>
                <w:snapToGrid w:val="0"/>
                <w:color w:val="auto"/>
                <w:sz w:val="24"/>
                <w:szCs w:val="24"/>
              </w:rPr>
              <w:t>考核内容，作为对其考核评价的重要依据。考核结果应当向社会公开。</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第五条</w:t>
            </w:r>
            <w:r>
              <w:rPr>
                <w:rFonts w:hint="eastAsia" w:ascii="黑体" w:hAnsi="黑体" w:eastAsia="黑体" w:cs="宋体"/>
                <w:snapToGrid w:val="0"/>
                <w:color w:val="auto"/>
                <w:sz w:val="24"/>
                <w:szCs w:val="24"/>
                <w:bdr w:val="single" w:color="000000" w:sz="4" w:space="0"/>
              </w:rPr>
              <w:t>第六条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本市实行</w:t>
            </w:r>
            <w:r>
              <w:rPr>
                <w:rFonts w:hint="eastAsia" w:ascii="仿宋_GB2312" w:eastAsia="仿宋_GB2312" w:cs="宋体"/>
                <w:snapToGrid w:val="0"/>
                <w:color w:val="auto"/>
                <w:sz w:val="24"/>
                <w:szCs w:val="24"/>
                <w:bdr w:val="single" w:color="000000" w:sz="4" w:space="0"/>
              </w:rPr>
              <w:t>大气</w:t>
            </w:r>
            <w:r>
              <w:rPr>
                <w:rFonts w:hint="eastAsia" w:ascii="黑体" w:hAnsi="黑体" w:eastAsia="黑体" w:cs="宋体"/>
                <w:b/>
                <w:bCs/>
                <w:snapToGrid w:val="0"/>
                <w:color w:val="auto"/>
                <w:sz w:val="24"/>
                <w:szCs w:val="24"/>
                <w:lang w:val="en-US" w:eastAsia="zh-CN"/>
              </w:rPr>
              <w:t>生态</w:t>
            </w:r>
            <w:r>
              <w:rPr>
                <w:rFonts w:hint="eastAsia" w:ascii="仿宋_GB2312" w:eastAsia="仿宋_GB2312" w:cs="宋体"/>
                <w:snapToGrid w:val="0"/>
                <w:color w:val="auto"/>
                <w:sz w:val="24"/>
                <w:szCs w:val="24"/>
              </w:rPr>
              <w:t>环境保护目标责任制和考核评价制度</w:t>
            </w:r>
            <w:r>
              <w:rPr>
                <w:rFonts w:hint="eastAsia" w:ascii="仿宋_GB2312" w:eastAsia="仿宋_GB2312" w:cs="宋体"/>
                <w:snapToGrid w:val="0"/>
                <w:color w:val="auto"/>
                <w:sz w:val="24"/>
                <w:szCs w:val="24"/>
                <w:bdr w:val="single" w:color="000000" w:sz="4" w:space="0"/>
              </w:rPr>
              <w:t>。市、区（县）人民政府应当</w:t>
            </w:r>
            <w:r>
              <w:rPr>
                <w:rFonts w:hint="eastAsia" w:ascii="黑体" w:hAnsi="黑体" w:eastAsia="黑体" w:cs="宋体"/>
                <w:b/>
                <w:bCs/>
                <w:snapToGrid w:val="0"/>
                <w:color w:val="auto"/>
                <w:sz w:val="24"/>
                <w:szCs w:val="24"/>
                <w:lang w:val="en-US" w:eastAsia="zh-CN"/>
              </w:rPr>
              <w:t>，</w:t>
            </w:r>
            <w:r>
              <w:rPr>
                <w:rFonts w:hint="eastAsia" w:ascii="仿宋_GB2312" w:eastAsia="仿宋_GB2312" w:cs="宋体"/>
                <w:snapToGrid w:val="0"/>
                <w:color w:val="auto"/>
                <w:sz w:val="24"/>
                <w:szCs w:val="24"/>
              </w:rPr>
              <w:t>将</w:t>
            </w:r>
            <w:r>
              <w:rPr>
                <w:rFonts w:hint="eastAsia" w:ascii="仿宋_GB2312" w:eastAsia="仿宋_GB2312" w:cs="宋体"/>
                <w:snapToGrid w:val="0"/>
                <w:color w:val="auto"/>
                <w:sz w:val="24"/>
                <w:szCs w:val="24"/>
                <w:bdr w:val="single" w:color="000000" w:sz="4" w:space="0"/>
              </w:rPr>
              <w:t>大气</w:t>
            </w:r>
            <w:r>
              <w:rPr>
                <w:rFonts w:hint="eastAsia" w:ascii="黑体" w:hAnsi="黑体" w:eastAsia="黑体" w:cs="宋体"/>
                <w:b/>
                <w:bCs/>
                <w:snapToGrid w:val="0"/>
                <w:color w:val="auto"/>
                <w:sz w:val="24"/>
                <w:szCs w:val="24"/>
                <w:lang w:val="en-US" w:eastAsia="zh-CN"/>
              </w:rPr>
              <w:t>生态</w:t>
            </w:r>
            <w:r>
              <w:rPr>
                <w:rFonts w:hint="eastAsia" w:ascii="仿宋_GB2312" w:eastAsia="仿宋_GB2312" w:cs="宋体"/>
                <w:snapToGrid w:val="0"/>
                <w:color w:val="auto"/>
                <w:sz w:val="24"/>
                <w:szCs w:val="24"/>
              </w:rPr>
              <w:t>环境</w:t>
            </w:r>
            <w:r>
              <w:rPr>
                <w:rFonts w:hint="eastAsia" w:ascii="仿宋_GB2312" w:eastAsia="仿宋_GB2312" w:cs="宋体"/>
                <w:snapToGrid w:val="0"/>
                <w:color w:val="auto"/>
                <w:sz w:val="24"/>
                <w:szCs w:val="24"/>
                <w:bdr w:val="single" w:color="000000" w:sz="4" w:space="0"/>
              </w:rPr>
              <w:t>质量改善</w:t>
            </w:r>
            <w:r>
              <w:rPr>
                <w:rFonts w:hint="eastAsia" w:ascii="黑体" w:hAnsi="黑体" w:eastAsia="黑体" w:cs="宋体"/>
                <w:b/>
                <w:bCs/>
                <w:snapToGrid w:val="0"/>
                <w:color w:val="auto"/>
                <w:sz w:val="24"/>
                <w:szCs w:val="24"/>
                <w:lang w:val="en-US" w:eastAsia="zh-CN"/>
              </w:rPr>
              <w:t>保护</w:t>
            </w:r>
            <w:r>
              <w:rPr>
                <w:rFonts w:hint="eastAsia" w:ascii="仿宋_GB2312" w:eastAsia="仿宋_GB2312" w:cs="宋体"/>
                <w:snapToGrid w:val="0"/>
                <w:color w:val="auto"/>
                <w:sz w:val="24"/>
                <w:szCs w:val="24"/>
              </w:rPr>
              <w:t>目标</w:t>
            </w:r>
            <w:r>
              <w:rPr>
                <w:rFonts w:hint="eastAsia" w:ascii="仿宋_GB2312" w:eastAsia="仿宋_GB2312" w:cs="宋体"/>
                <w:snapToGrid w:val="0"/>
                <w:color w:val="auto"/>
                <w:sz w:val="24"/>
                <w:szCs w:val="24"/>
                <w:bdr w:val="single" w:color="000000" w:sz="4" w:space="0"/>
              </w:rPr>
              <w:t>、大气污染防治重点任务</w:t>
            </w:r>
            <w:r>
              <w:rPr>
                <w:rFonts w:hint="eastAsia" w:ascii="仿宋_GB2312" w:eastAsia="仿宋_GB2312" w:cs="宋体"/>
                <w:snapToGrid w:val="0"/>
                <w:color w:val="auto"/>
                <w:sz w:val="24"/>
                <w:szCs w:val="24"/>
              </w:rPr>
              <w:t>完成情况纳入</w:t>
            </w:r>
            <w:r>
              <w:rPr>
                <w:rFonts w:hint="eastAsia" w:ascii="仿宋_GB2312" w:eastAsia="仿宋_GB2312" w:cs="宋体"/>
                <w:snapToGrid w:val="0"/>
                <w:color w:val="auto"/>
                <w:sz w:val="24"/>
                <w:szCs w:val="24"/>
                <w:bdr w:val="single" w:color="000000" w:sz="4" w:space="0"/>
              </w:rPr>
              <w:t>对有关部门及其负责人和下级人民政府及其负责人的</w:t>
            </w:r>
            <w:r>
              <w:rPr>
                <w:rFonts w:hint="eastAsia" w:ascii="仿宋_GB2312" w:eastAsia="仿宋_GB2312" w:cs="宋体"/>
                <w:snapToGrid w:val="0"/>
                <w:color w:val="auto"/>
                <w:sz w:val="24"/>
                <w:szCs w:val="24"/>
              </w:rPr>
              <w:t>考核</w:t>
            </w:r>
            <w:r>
              <w:rPr>
                <w:rFonts w:hint="eastAsia" w:ascii="黑体" w:hAnsi="黑体" w:eastAsia="黑体" w:cs="宋体"/>
                <w:b/>
                <w:bCs/>
                <w:snapToGrid w:val="0"/>
                <w:color w:val="auto"/>
                <w:sz w:val="24"/>
                <w:szCs w:val="24"/>
                <w:lang w:val="en-US" w:eastAsia="zh-CN"/>
              </w:rPr>
              <w:t>评价</w:t>
            </w:r>
            <w:r>
              <w:rPr>
                <w:rFonts w:hint="eastAsia" w:ascii="仿宋_GB2312" w:eastAsia="仿宋_GB2312" w:cs="宋体"/>
                <w:snapToGrid w:val="0"/>
                <w:color w:val="auto"/>
                <w:sz w:val="24"/>
                <w:szCs w:val="24"/>
              </w:rPr>
              <w:t>内容</w:t>
            </w:r>
            <w:r>
              <w:rPr>
                <w:rFonts w:hint="eastAsia" w:ascii="仿宋_GB2312" w:eastAsia="仿宋_GB2312" w:cs="宋体"/>
                <w:snapToGrid w:val="0"/>
                <w:color w:val="auto"/>
                <w:sz w:val="24"/>
                <w:szCs w:val="24"/>
                <w:bdr w:val="single" w:color="000000" w:sz="4" w:space="0"/>
              </w:rPr>
              <w:t>，作为对其考核评价的重要依据</w:t>
            </w:r>
            <w:r>
              <w:rPr>
                <w:rFonts w:hint="eastAsia" w:ascii="仿宋_GB2312" w:eastAsia="仿宋_GB2312" w:cs="宋体"/>
                <w:snapToGrid w:val="0"/>
                <w:color w:val="auto"/>
                <w:sz w:val="24"/>
                <w:szCs w:val="24"/>
              </w:rPr>
              <w:t>。考核结果应当向社会公开。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第七条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企业事业单位和其他生产经营者应当遵守法律、法规的规定，防止和减少大气污染，接受监管部门和社会的监督，对所造成的损害依法承担责任。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公民应当增强大气环境保护意识，采取低碳、节俭的生活方式，自觉履行大气环境保护的义务。</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第八条</w:t>
            </w:r>
            <w:r>
              <w:rPr>
                <w:rFonts w:hint="eastAsia" w:ascii="仿宋_GB2312" w:eastAsia="仿宋_GB2312" w:cs="宋体"/>
                <w:snapToGrid w:val="0"/>
                <w:color w:val="auto"/>
                <w:sz w:val="24"/>
                <w:szCs w:val="24"/>
              </w:rPr>
              <w:t xml:space="preserve">  鼓励、支持大气污染防治科学技术研究、开发和应用，建立多元化的大气污染防治投融资机制，引导社会资本参与大气污染防治，推进绿色经济和绿色金融发展，提高大气污染防治的产业化、专业化、市场化水平。</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75" w:firstLineChars="198"/>
              <w:jc w:val="both"/>
              <w:textAlignment w:val="auto"/>
              <w:rPr>
                <w:color w:val="auto"/>
                <w:sz w:val="24"/>
                <w:szCs w:val="24"/>
                <w:vertAlign w:val="baseline"/>
              </w:rPr>
            </w:pPr>
            <w:r>
              <w:rPr>
                <w:rFonts w:hint="eastAsia" w:ascii="黑体" w:hAnsi="黑体" w:eastAsia="黑体" w:cs="宋体"/>
                <w:snapToGrid w:val="0"/>
                <w:color w:val="auto"/>
                <w:sz w:val="24"/>
                <w:szCs w:val="24"/>
              </w:rPr>
              <w:t>第九条</w:t>
            </w:r>
            <w:r>
              <w:rPr>
                <w:rFonts w:hint="eastAsia" w:ascii="仿宋_GB2312" w:eastAsia="仿宋_GB2312" w:cs="宋体"/>
                <w:snapToGrid w:val="0"/>
                <w:color w:val="auto"/>
                <w:sz w:val="24"/>
                <w:szCs w:val="24"/>
              </w:rPr>
              <w:t xml:space="preserve">  本市各级人民政府，生态环境主管部门和社会团体、学校、新闻媒体、群众性自治组织等单位，应当开展大气污染防治法律法规、科普知识宣传教育，倡导文明、节约、低碳、绿色消费方式和生活习惯，促进形成全社会保护大气环境的氛围。</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第十条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 xml:space="preserve"> 本市实行大气污染防治违法行为举报奖励制度。举报奖励办法由市人民政府另行规定并向社会公布。</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Calibri" w:hAnsi="Calibri" w:eastAsia="宋体" w:cs="Times New Roman"/>
                <w:color w:val="auto"/>
                <w:kern w:val="2"/>
                <w:sz w:val="24"/>
                <w:szCs w:val="24"/>
                <w:vertAlign w:val="baseline"/>
                <w:lang w:val="en-US" w:eastAsia="zh-CN" w:bidi="ar-SA"/>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黑体" w:hAnsi="黑体" w:eastAsia="黑体" w:cs="宋体"/>
                <w:snapToGrid w:val="0"/>
                <w:color w:val="auto"/>
                <w:sz w:val="24"/>
                <w:szCs w:val="24"/>
              </w:rPr>
              <w:t>第二章  一般规定</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第十一条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城市人民政府应当及时编制大气环境质量限期达标规划，采取措施，按照国家和本省规定的期限达到大气环境质量标准。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编制大气环境质量限期达标规划，应当对本行政区域大气环境质量及其影响因素进行分析，确定分阶段大气环境质量改善目标，明确相应责任主体、工作重点和保障措施，并征求有关行业协会、企业事业单位、专家和公众等方面的意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大气环境质量限期达标规划应当向社会公开，并报国务院生态环境主管部门备案。</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黑体" w:hAnsi="黑体" w:eastAsia="黑体" w:cs="宋体"/>
                <w:b/>
                <w:bCs/>
                <w:snapToGrid w:val="0"/>
                <w:color w:val="auto"/>
                <w:sz w:val="24"/>
                <w:szCs w:val="24"/>
                <w:lang w:val="en-US" w:eastAsia="zh-CN"/>
              </w:rPr>
            </w:pPr>
            <w:r>
              <w:rPr>
                <w:rFonts w:hint="eastAsia" w:ascii="黑体" w:hAnsi="黑体" w:eastAsia="黑体" w:cs="宋体"/>
                <w:b/>
                <w:bCs/>
                <w:snapToGrid w:val="0"/>
                <w:color w:val="auto"/>
                <w:sz w:val="24"/>
                <w:szCs w:val="24"/>
                <w:lang w:val="en-US" w:eastAsia="zh-CN"/>
              </w:rPr>
              <w:t>第六条</w:t>
            </w:r>
            <w:r>
              <w:rPr>
                <w:rFonts w:hint="eastAsia" w:ascii="黑体" w:hAnsi="黑体" w:eastAsia="黑体" w:cs="黑体"/>
                <w:snapToGrid w:val="0"/>
                <w:color w:val="auto"/>
                <w:sz w:val="24"/>
                <w:szCs w:val="24"/>
                <w:bdr w:val="single" w:color="000000" w:sz="4" w:space="0"/>
              </w:rPr>
              <w:t>第十一条</w:t>
            </w:r>
            <w:r>
              <w:rPr>
                <w:rFonts w:hint="eastAsia" w:ascii="仿宋_GB2312" w:eastAsia="仿宋_GB2312" w:cs="宋体"/>
                <w:snapToGrid w:val="0"/>
                <w:color w:val="auto"/>
                <w:sz w:val="24"/>
                <w:szCs w:val="24"/>
                <w:bdr w:val="single" w:color="000000" w:sz="4" w:space="0"/>
              </w:rPr>
              <w:t xml:space="preserve">  城市人民政府应当及时编制大气环境质量限期达标规划，采取措施，按照国家和本省规定的期限达到大气环境质量标准。</w:t>
            </w:r>
            <w:r>
              <w:rPr>
                <w:rFonts w:hint="eastAsia" w:ascii="黑体" w:hAnsi="黑体" w:eastAsia="黑体" w:cs="宋体"/>
                <w:b/>
                <w:bCs/>
                <w:snapToGrid w:val="0"/>
                <w:color w:val="auto"/>
                <w:sz w:val="24"/>
                <w:szCs w:val="24"/>
                <w:lang w:val="en-US" w:eastAsia="zh-CN"/>
              </w:rPr>
              <w:t>未达到国家大气环境质量标准的，市、县（区）人民政府应当及时编制大气环境质量限期达标规划，采取有效措施，按照省级以上人民政府规定的期限达到大气环境质量标准。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编制大气环境质量限期达标规划，应当对本行政区域大气环境质量及其影响因素进行分析，确定分阶段大气环境质量改善目标，明确相应责任主体、工作重点和保障措施，并征求有关行业协会、企业事业单位、专家和公众等方面的意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bdr w:val="single" w:color="000000" w:sz="4" w:space="0"/>
              </w:rPr>
              <w:t>大</w:t>
            </w:r>
            <w:r>
              <w:rPr>
                <w:rFonts w:hint="eastAsia" w:ascii="仿宋_GB2312" w:eastAsia="仿宋_GB2312" w:cs="宋体"/>
                <w:snapToGrid w:val="0"/>
                <w:color w:val="auto"/>
                <w:spacing w:val="-6"/>
                <w:sz w:val="24"/>
                <w:szCs w:val="24"/>
                <w:bdr w:val="single" w:color="000000" w:sz="4" w:space="0"/>
              </w:rPr>
              <w:t>气环境质量限期达标规划应当向社会公开，并报国务院生态环境主管部门备案。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第十二条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生态环境主管部门应当按照大气环境质量限期达标规划，制定大气污染防治年度实施方案，报本级人民政府批准后公布实施。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城市人民政府每年在向本级人民代表大会或者其常务委员会报告环境状况和环境保护目标完成情况时，应当报告大气环境质量限期达标规划执行情况，并向社会公开。</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第十三条</w:t>
            </w:r>
            <w:r>
              <w:rPr>
                <w:rFonts w:hint="eastAsia" w:ascii="仿宋_GB2312" w:eastAsia="仿宋_GB2312" w:cs="宋体"/>
                <w:snapToGrid w:val="0"/>
                <w:color w:val="auto"/>
                <w:sz w:val="24"/>
                <w:szCs w:val="24"/>
              </w:rPr>
              <w:t xml:space="preserve">  市人民政府应当按照区域联防联控的有关要求，做好与周边地区大气污染防治协调合作、信息共享和应急联动等工作。</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第七条</w:t>
            </w:r>
            <w:r>
              <w:rPr>
                <w:rFonts w:hint="eastAsia" w:ascii="黑体" w:hAnsi="黑体" w:eastAsia="黑体" w:cs="宋体"/>
                <w:snapToGrid w:val="0"/>
                <w:color w:val="auto"/>
                <w:sz w:val="24"/>
                <w:szCs w:val="24"/>
                <w:bdr w:val="single" w:color="000000" w:sz="4" w:space="0"/>
              </w:rPr>
              <w:t>第十三条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bdr w:val="single" w:color="auto" w:sz="4" w:space="0"/>
                <w:shd w:val="clear" w:color="FFFFFF" w:fill="D9D9D9"/>
              </w:rPr>
            </w:pPr>
            <w:r>
              <w:rPr>
                <w:rFonts w:hint="eastAsia" w:ascii="黑体" w:hAnsi="黑体" w:eastAsia="黑体" w:cs="宋体"/>
                <w:snapToGrid w:val="0"/>
                <w:color w:val="auto"/>
                <w:sz w:val="24"/>
                <w:szCs w:val="24"/>
              </w:rPr>
              <w:t>第十四条</w:t>
            </w:r>
            <w:r>
              <w:rPr>
                <w:rFonts w:hint="eastAsia" w:ascii="仿宋_GB2312" w:eastAsia="仿宋_GB2312" w:cs="宋体"/>
                <w:snapToGrid w:val="0"/>
                <w:color w:val="auto"/>
                <w:sz w:val="24"/>
                <w:szCs w:val="24"/>
              </w:rPr>
              <w:t xml:space="preserve">  本市实行大气污染防治网格化监督管理。市、区（县）人民政府按照属地管理、分级负责、全面覆盖、责任到人的原则，建立和完善市、区（县）、乡镇（街道）、村（居）民委员会四级网格监督管理机制。</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网格化监督管理工作经费列入同级财政预算。</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bdr w:val="single" w:color="auto" w:sz="4" w:space="0"/>
                <w:shd w:val="clear" w:color="FFFFFF" w:fill="D9D9D9"/>
              </w:rPr>
            </w:pPr>
            <w:r>
              <w:rPr>
                <w:rFonts w:hint="eastAsia" w:ascii="黑体" w:hAnsi="黑体" w:eastAsia="黑体" w:cs="宋体"/>
                <w:b/>
                <w:bCs/>
                <w:snapToGrid w:val="0"/>
                <w:color w:val="auto"/>
                <w:sz w:val="24"/>
                <w:szCs w:val="24"/>
                <w:lang w:val="en-US" w:eastAsia="zh-CN"/>
              </w:rPr>
              <w:t>第八条</w:t>
            </w:r>
            <w:r>
              <w:rPr>
                <w:rFonts w:hint="eastAsia" w:ascii="黑体" w:hAnsi="黑体" w:eastAsia="黑体" w:cs="宋体"/>
                <w:snapToGrid w:val="0"/>
                <w:color w:val="auto"/>
                <w:sz w:val="24"/>
                <w:szCs w:val="24"/>
                <w:bdr w:val="single" w:color="000000" w:sz="4" w:space="0"/>
              </w:rPr>
              <w:t>第十四条</w:t>
            </w:r>
            <w:r>
              <w:rPr>
                <w:rFonts w:hint="eastAsia" w:ascii="仿宋_GB2312" w:eastAsia="仿宋_GB2312" w:cs="宋体"/>
                <w:snapToGrid w:val="0"/>
                <w:color w:val="auto"/>
                <w:sz w:val="24"/>
                <w:szCs w:val="24"/>
              </w:rPr>
              <w:t xml:space="preserve">  本市实行大气污染防治网格化监督管理。市、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人民政府按照属地管理、分级负责、全面覆盖、责任到人的原则，建立和完善市、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、乡镇（街道）、村（居）民委员会四级网格监督管理机制。</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网格化监督管理工作经费列入同级财政预算。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第十五条</w:t>
            </w:r>
            <w:r>
              <w:rPr>
                <w:rFonts w:hint="eastAsia" w:ascii="仿宋_GB2312" w:eastAsia="仿宋_GB2312" w:cs="宋体"/>
                <w:snapToGrid w:val="0"/>
                <w:color w:val="auto"/>
                <w:sz w:val="24"/>
                <w:szCs w:val="24"/>
              </w:rPr>
              <w:t xml:space="preserve">  生态环境主管部门应当组织建设与管理大气环境质量和大气污染源监测网，开展大气环境质量和污染源监测，统一发布空气环境质量状况公报、空气质量日报等大气环境质量状况信息，每月在市政府门户网站上公布区（县）大气环境质量排名，并且与国家和省级对应平台联网。</w:t>
            </w:r>
            <w:r>
              <w:rPr>
                <w:rFonts w:hint="eastAsia" w:ascii="仿宋_GB2312" w:eastAsia="仿宋_GB2312"/>
                <w:snapToGrid w:val="0"/>
                <w:color w:val="auto"/>
                <w:sz w:val="24"/>
                <w:szCs w:val="24"/>
              </w:rPr>
              <w:t xml:space="preserve"> </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第十六条</w:t>
            </w:r>
            <w:r>
              <w:rPr>
                <w:rFonts w:hint="eastAsia" w:ascii="仿宋_GB2312" w:eastAsia="仿宋_GB2312" w:cs="宋体"/>
                <w:snapToGrid w:val="0"/>
                <w:color w:val="auto"/>
                <w:sz w:val="24"/>
                <w:szCs w:val="24"/>
              </w:rPr>
              <w:t xml:space="preserve">  生态环境主管部门应当将排污单位纳入环境信用评价范围，通过征信系统实行守信联合激励和失信联合惩戒。</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第十七条</w:t>
            </w:r>
            <w:r>
              <w:rPr>
                <w:rFonts w:hint="eastAsia" w:ascii="仿宋_GB2312" w:eastAsia="仿宋_GB2312" w:cs="宋体"/>
                <w:snapToGrid w:val="0"/>
                <w:color w:val="auto"/>
                <w:sz w:val="24"/>
                <w:szCs w:val="24"/>
              </w:rPr>
              <w:t xml:space="preserve">  市、区（县）人民政府应当依据重污染天气预警等级，及时启动应急预案，根据应急需要可以采取责令有关企业停产或者限产、限制部分机动车行驶、禁止燃放烟花爆竹、停止工地土石方作业和建筑物拆除施工、停止露天烧烤、停止幼儿园和学校组织的户外活动、组织开展人工影响天气作业等应急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应急响应结束后，市、区（县）人民政府应当及时开展应急预案实施情况的评估，适时修改完善应急预案。</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第九条</w:t>
            </w:r>
            <w:r>
              <w:rPr>
                <w:rFonts w:hint="eastAsia" w:ascii="黑体" w:hAnsi="黑体" w:eastAsia="黑体" w:cs="宋体"/>
                <w:snapToGrid w:val="0"/>
                <w:color w:val="auto"/>
                <w:sz w:val="24"/>
                <w:szCs w:val="24"/>
                <w:bdr w:val="single" w:color="000000" w:sz="4" w:space="0"/>
              </w:rPr>
              <w:t>第十七条</w:t>
            </w:r>
            <w:r>
              <w:rPr>
                <w:rFonts w:hint="eastAsia" w:ascii="仿宋_GB2312" w:eastAsia="仿宋_GB2312" w:cs="宋体"/>
                <w:snapToGrid w:val="0"/>
                <w:color w:val="auto"/>
                <w:sz w:val="24"/>
                <w:szCs w:val="24"/>
              </w:rPr>
              <w:t xml:space="preserve">  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人民政府应当依据重污染天气预警等级，及时启动应</w:t>
            </w:r>
            <w:r>
              <w:rPr>
                <w:rFonts w:hint="eastAsia" w:ascii="仿宋_GB2312" w:eastAsia="仿宋_GB2312" w:cs="宋体"/>
                <w:snapToGrid w:val="0"/>
                <w:color w:val="auto"/>
                <w:sz w:val="24"/>
                <w:szCs w:val="24"/>
                <w:bdr w:val="single" w:color="000000" w:sz="4" w:space="0"/>
              </w:rPr>
              <w:t>急</w:t>
            </w:r>
            <w:r>
              <w:rPr>
                <w:rFonts w:hint="eastAsia" w:ascii="黑体" w:hAnsi="黑体" w:eastAsia="黑体" w:cs="宋体"/>
                <w:b/>
                <w:bCs/>
                <w:snapToGrid w:val="0"/>
                <w:color w:val="auto"/>
                <w:sz w:val="24"/>
                <w:szCs w:val="24"/>
                <w:lang w:val="en-US" w:eastAsia="zh-CN"/>
              </w:rPr>
              <w:t>对</w:t>
            </w:r>
            <w:r>
              <w:rPr>
                <w:rFonts w:hint="eastAsia" w:ascii="仿宋_GB2312" w:eastAsia="仿宋_GB2312" w:cs="宋体"/>
                <w:snapToGrid w:val="0"/>
                <w:color w:val="auto"/>
                <w:sz w:val="24"/>
                <w:szCs w:val="24"/>
              </w:rPr>
              <w:t>预案，根据应</w:t>
            </w:r>
            <w:r>
              <w:rPr>
                <w:rFonts w:hint="eastAsia" w:ascii="仿宋_GB2312" w:eastAsia="仿宋_GB2312" w:cs="宋体"/>
                <w:snapToGrid w:val="0"/>
                <w:color w:val="auto"/>
                <w:sz w:val="24"/>
                <w:szCs w:val="24"/>
                <w:bdr w:val="single" w:color="000000" w:sz="4" w:space="0"/>
              </w:rPr>
              <w:t>急</w:t>
            </w:r>
            <w:r>
              <w:rPr>
                <w:rFonts w:hint="eastAsia" w:ascii="黑体" w:hAnsi="黑体" w:eastAsia="黑体" w:cs="黑体"/>
                <w:b/>
                <w:bCs/>
                <w:snapToGrid w:val="0"/>
                <w:color w:val="auto"/>
                <w:sz w:val="24"/>
                <w:szCs w:val="24"/>
                <w:lang w:val="en-US" w:eastAsia="zh-CN"/>
              </w:rPr>
              <w:t>对的</w:t>
            </w:r>
            <w:r>
              <w:rPr>
                <w:rFonts w:hint="eastAsia" w:ascii="仿宋_GB2312" w:eastAsia="仿宋_GB2312" w:cs="宋体"/>
                <w:snapToGrid w:val="0"/>
                <w:color w:val="auto"/>
                <w:sz w:val="24"/>
                <w:szCs w:val="24"/>
              </w:rPr>
              <w:t>需要可以采取责令有关企业停产或者限产、限制部分机动车行驶</w:t>
            </w:r>
            <w:r>
              <w:rPr>
                <w:rFonts w:hint="eastAsia" w:ascii="黑体" w:hAnsi="黑体" w:eastAsia="黑体" w:cs="宋体"/>
                <w:b/>
                <w:bCs/>
                <w:snapToGrid w:val="0"/>
                <w:color w:val="auto"/>
                <w:sz w:val="24"/>
                <w:szCs w:val="24"/>
                <w:lang w:val="en-US" w:eastAsia="zh-CN"/>
              </w:rPr>
              <w:t>和非道路移动机械使用</w:t>
            </w:r>
            <w:r>
              <w:rPr>
                <w:rFonts w:hint="eastAsia" w:ascii="仿宋_GB2312" w:eastAsia="仿宋_GB2312" w:cs="宋体"/>
                <w:snapToGrid w:val="0"/>
                <w:color w:val="auto"/>
                <w:sz w:val="24"/>
                <w:szCs w:val="24"/>
              </w:rPr>
              <w:t>、禁止燃放烟花爆竹、</w:t>
            </w:r>
            <w:r>
              <w:rPr>
                <w:rFonts w:hint="eastAsia" w:ascii="仿宋_GB2312" w:eastAsia="仿宋_GB2312" w:cs="宋体"/>
                <w:snapToGrid w:val="0"/>
                <w:color w:val="auto"/>
                <w:sz w:val="24"/>
                <w:szCs w:val="24"/>
                <w:u w:val="none"/>
              </w:rPr>
              <w:t>停止工地土石方作业和建筑物拆除施工</w:t>
            </w:r>
            <w:r>
              <w:rPr>
                <w:rFonts w:hint="eastAsia" w:ascii="仿宋_GB2312" w:eastAsia="仿宋_GB2312" w:cs="宋体"/>
                <w:snapToGrid w:val="0"/>
                <w:color w:val="auto"/>
                <w:sz w:val="24"/>
                <w:szCs w:val="24"/>
              </w:rPr>
              <w:t>、停止露天烧烤、停止幼儿园和学校组织的户外活动、组织开展人工影响天气作业等应</w:t>
            </w:r>
            <w:r>
              <w:rPr>
                <w:rFonts w:hint="eastAsia" w:ascii="仿宋_GB2312" w:eastAsia="仿宋_GB2312" w:cs="宋体"/>
                <w:snapToGrid w:val="0"/>
                <w:color w:val="auto"/>
                <w:sz w:val="24"/>
                <w:szCs w:val="24"/>
                <w:bdr w:val="single" w:color="000000" w:sz="4" w:space="0"/>
              </w:rPr>
              <w:t>急</w:t>
            </w:r>
            <w:r>
              <w:rPr>
                <w:rFonts w:hint="eastAsia" w:ascii="黑体" w:hAnsi="黑体" w:eastAsia="黑体" w:cs="黑体"/>
                <w:b/>
                <w:bCs/>
                <w:snapToGrid w:val="0"/>
                <w:color w:val="auto"/>
                <w:sz w:val="24"/>
                <w:szCs w:val="24"/>
                <w:lang w:val="en-US" w:eastAsia="zh-CN"/>
              </w:rPr>
              <w:t>对</w:t>
            </w:r>
            <w:r>
              <w:rPr>
                <w:rFonts w:hint="eastAsia" w:ascii="仿宋_GB2312" w:eastAsia="仿宋_GB2312" w:cs="宋体"/>
                <w:snapToGrid w:val="0"/>
                <w:color w:val="auto"/>
                <w:sz w:val="24"/>
                <w:szCs w:val="24"/>
              </w:rPr>
              <w:t>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应</w:t>
            </w:r>
            <w:r>
              <w:rPr>
                <w:rFonts w:hint="eastAsia" w:ascii="仿宋_GB2312" w:eastAsia="仿宋_GB2312" w:cs="宋体"/>
                <w:snapToGrid w:val="0"/>
                <w:color w:val="auto"/>
                <w:sz w:val="24"/>
                <w:szCs w:val="24"/>
                <w:bdr w:val="single" w:color="000000" w:sz="4" w:space="0"/>
              </w:rPr>
              <w:t>急</w:t>
            </w:r>
            <w:r>
              <w:rPr>
                <w:rFonts w:hint="eastAsia" w:ascii="黑体" w:hAnsi="黑体" w:eastAsia="黑体" w:cs="黑体"/>
                <w:b/>
                <w:bCs/>
                <w:snapToGrid w:val="0"/>
                <w:color w:val="auto"/>
                <w:sz w:val="24"/>
                <w:szCs w:val="24"/>
                <w:lang w:val="en-US" w:eastAsia="zh-CN"/>
              </w:rPr>
              <w:t>对</w:t>
            </w:r>
            <w:r>
              <w:rPr>
                <w:rFonts w:hint="eastAsia" w:ascii="仿宋_GB2312" w:eastAsia="仿宋_GB2312" w:cs="宋体"/>
                <w:snapToGrid w:val="0"/>
                <w:color w:val="auto"/>
                <w:sz w:val="24"/>
                <w:szCs w:val="24"/>
              </w:rPr>
              <w:t>响应结束后，市、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人民政府应当及时开展应</w:t>
            </w:r>
            <w:r>
              <w:rPr>
                <w:rFonts w:hint="eastAsia" w:ascii="仿宋_GB2312" w:eastAsia="仿宋_GB2312" w:cs="宋体"/>
                <w:snapToGrid w:val="0"/>
                <w:color w:val="auto"/>
                <w:sz w:val="24"/>
                <w:szCs w:val="24"/>
                <w:bdr w:val="single" w:color="000000" w:sz="4" w:space="0"/>
              </w:rPr>
              <w:t>急</w:t>
            </w:r>
            <w:r>
              <w:rPr>
                <w:rFonts w:hint="eastAsia" w:ascii="黑体" w:hAnsi="黑体" w:eastAsia="黑体" w:cs="黑体"/>
                <w:b/>
                <w:bCs/>
                <w:snapToGrid w:val="0"/>
                <w:color w:val="auto"/>
                <w:sz w:val="24"/>
                <w:szCs w:val="24"/>
                <w:lang w:val="en-US" w:eastAsia="zh-CN"/>
              </w:rPr>
              <w:t>对</w:t>
            </w:r>
            <w:r>
              <w:rPr>
                <w:rFonts w:hint="eastAsia" w:ascii="仿宋_GB2312" w:eastAsia="仿宋_GB2312" w:cs="宋体"/>
                <w:snapToGrid w:val="0"/>
                <w:color w:val="auto"/>
                <w:sz w:val="24"/>
                <w:szCs w:val="24"/>
              </w:rPr>
              <w:t>预案实施情况的评估，适时修改完善应</w:t>
            </w:r>
            <w:r>
              <w:rPr>
                <w:rFonts w:hint="eastAsia" w:ascii="仿宋_GB2312" w:eastAsia="仿宋_GB2312" w:cs="宋体"/>
                <w:snapToGrid w:val="0"/>
                <w:color w:val="auto"/>
                <w:sz w:val="24"/>
                <w:szCs w:val="24"/>
                <w:bdr w:val="single" w:color="000000" w:sz="4" w:space="0"/>
              </w:rPr>
              <w:t>急</w:t>
            </w:r>
            <w:r>
              <w:rPr>
                <w:rFonts w:hint="eastAsia" w:ascii="黑体" w:hAnsi="黑体" w:eastAsia="黑体" w:cs="黑体"/>
                <w:b/>
                <w:bCs/>
                <w:snapToGrid w:val="0"/>
                <w:color w:val="auto"/>
                <w:sz w:val="24"/>
                <w:szCs w:val="24"/>
                <w:lang w:val="en-US" w:eastAsia="zh-CN"/>
              </w:rPr>
              <w:t>对</w:t>
            </w:r>
            <w:r>
              <w:rPr>
                <w:rFonts w:hint="eastAsia" w:ascii="仿宋_GB2312" w:eastAsia="仿宋_GB2312" w:cs="宋体"/>
                <w:snapToGrid w:val="0"/>
                <w:color w:val="auto"/>
                <w:sz w:val="24"/>
                <w:szCs w:val="24"/>
              </w:rPr>
              <w:t>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第十八条</w:t>
            </w:r>
            <w:r>
              <w:rPr>
                <w:rFonts w:hint="eastAsia" w:ascii="仿宋_GB2312" w:eastAsia="仿宋_GB2312" w:cs="宋体"/>
                <w:snapToGrid w:val="0"/>
                <w:color w:val="auto"/>
                <w:sz w:val="24"/>
                <w:szCs w:val="24"/>
              </w:rPr>
              <w:t xml:space="preserve">  排污单位应当建立大气污染防治责任制度，明确单位负责人和相关人员的责任，建立大气污染防治管理台账，按照大气污染防治技术规范制定操作规程，组织生产管理。</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val="en-US" w:eastAsia="zh-CN"/>
              </w:rPr>
            </w:pPr>
            <w:r>
              <w:rPr>
                <w:rFonts w:hint="eastAsia" w:ascii="楷体_GB2312" w:hAnsi="楷体_GB2312" w:eastAsia="楷体_GB2312" w:cs="楷体_GB2312"/>
                <w:color w:val="auto"/>
                <w:sz w:val="24"/>
                <w:szCs w:val="24"/>
                <w:vertAlign w:val="baseline"/>
                <w:lang w:val="en-US" w:eastAsia="zh-CN"/>
              </w:rPr>
              <w:t>（删）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bdr w:val="single" w:color="auto" w:sz="4" w:space="0"/>
              </w:rPr>
            </w:pPr>
            <w:r>
              <w:rPr>
                <w:rFonts w:hint="eastAsia" w:ascii="黑体" w:hAnsi="黑体" w:eastAsia="黑体" w:cs="宋体"/>
                <w:snapToGrid w:val="0"/>
                <w:color w:val="auto"/>
                <w:sz w:val="24"/>
                <w:szCs w:val="24"/>
              </w:rPr>
              <w:t>第十九条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鼓励排污单位和个人委托具有相应能力的第三方机构运营其污染治理设施或者实施污染治理。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接受委托的第三方机构，应当遵守环境保护法律、法规和相关技术规范的要求。</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黑体" w:hAnsi="黑体" w:eastAsia="黑体" w:cs="宋体"/>
                <w:snapToGrid w:val="0"/>
                <w:color w:val="auto"/>
                <w:sz w:val="24"/>
                <w:szCs w:val="24"/>
              </w:rPr>
              <w:t>第三章</w:t>
            </w:r>
            <w:r>
              <w:rPr>
                <w:rFonts w:hint="eastAsia" w:ascii="黑体" w:hAnsi="黑体" w:eastAsia="黑体"/>
                <w:snapToGrid w:val="0"/>
                <w:color w:val="auto"/>
                <w:sz w:val="24"/>
                <w:szCs w:val="24"/>
              </w:rPr>
              <w:t xml:space="preserve">  </w:t>
            </w:r>
            <w:r>
              <w:rPr>
                <w:rFonts w:hint="eastAsia" w:ascii="黑体" w:hAnsi="黑体" w:eastAsia="黑体" w:cs="宋体"/>
                <w:snapToGrid w:val="0"/>
                <w:color w:val="auto"/>
                <w:sz w:val="24"/>
                <w:szCs w:val="24"/>
              </w:rPr>
              <w:t>防治措施</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b/>
                <w:snapToGrid w:val="0"/>
                <w:color w:val="auto"/>
                <w:sz w:val="24"/>
                <w:szCs w:val="24"/>
              </w:rPr>
            </w:pPr>
            <w:r>
              <w:rPr>
                <w:rFonts w:hint="eastAsia" w:ascii="黑体" w:hAnsi="黑体" w:eastAsia="黑体" w:cs="宋体"/>
                <w:snapToGrid w:val="0"/>
                <w:color w:val="auto"/>
                <w:sz w:val="24"/>
                <w:szCs w:val="24"/>
              </w:rPr>
              <w:t>第二十条</w:t>
            </w:r>
            <w:r>
              <w:rPr>
                <w:rFonts w:hint="eastAsia" w:ascii="仿宋_GB2312" w:eastAsia="仿宋_GB2312" w:cs="宋体"/>
                <w:snapToGrid w:val="0"/>
                <w:color w:val="auto"/>
                <w:sz w:val="24"/>
                <w:szCs w:val="24"/>
              </w:rPr>
              <w:t xml:space="preserve">  本市实行煤炭消费总量控制制度。</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市人民政府应当根据本省清洁能源发展规划和燃煤总量控制计划，制定本市实施方案，明确燃煤总量控制目标和实施步骤，推广使用清洁能源，逐步降低煤炭在一次能源消费中的比重，减少煤炭生产、使用、转化过程中的大气污染物排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区（县）人民政府应当根据市人民政府的煤炭消费总量控制方案制定煤炭削减计划和清洁能源改造计划，并具体组织实施。</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黑体" w:hAnsi="黑体" w:eastAsia="黑体" w:cs="宋体"/>
                <w:b/>
                <w:snapToGrid w:val="0"/>
                <w:color w:val="auto"/>
                <w:sz w:val="24"/>
                <w:szCs w:val="24"/>
              </w:rPr>
            </w:pPr>
            <w:r>
              <w:rPr>
                <w:rFonts w:hint="eastAsia" w:ascii="黑体" w:hAnsi="黑体" w:eastAsia="黑体" w:cs="宋体"/>
                <w:b/>
                <w:bCs/>
                <w:snapToGrid w:val="0"/>
                <w:color w:val="auto"/>
                <w:sz w:val="24"/>
                <w:szCs w:val="24"/>
                <w:highlight w:val="none"/>
                <w:lang w:val="en-US" w:eastAsia="zh-CN"/>
              </w:rPr>
              <w:t>第十条</w:t>
            </w:r>
            <w:r>
              <w:rPr>
                <w:rFonts w:hint="eastAsia" w:ascii="黑体" w:hAnsi="黑体" w:eastAsia="黑体" w:cs="宋体"/>
                <w:snapToGrid w:val="0"/>
                <w:color w:val="auto"/>
                <w:sz w:val="24"/>
                <w:szCs w:val="24"/>
                <w:bdr w:val="single" w:color="000000" w:sz="4" w:space="0"/>
              </w:rPr>
              <w:t>第二十条</w:t>
            </w:r>
            <w:r>
              <w:rPr>
                <w:rFonts w:hint="eastAsia" w:ascii="仿宋_GB2312" w:eastAsia="仿宋_GB2312" w:cs="宋体"/>
                <w:snapToGrid w:val="0"/>
                <w:color w:val="auto"/>
                <w:sz w:val="24"/>
                <w:szCs w:val="24"/>
              </w:rPr>
              <w:t xml:space="preserve">  本市实行煤炭消费总量控制制度。</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市人民政府应当根据本省清洁能源发展规划和燃煤总量控制计划，制定本市实施方案，明确燃煤总量控制目标和实施步骤，推广使用清洁能源，逐步降低煤炭在一次能源消费中的比重，减少煤炭生产、使用、转化过程中的大气污染物排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人民政府应当根据市人民政府的煤炭消费总量控制方案制定煤炭削减计划和清洁能源改造计划，并具体组织实施。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第二十一条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城市人民政府划定并公布高污染燃料禁燃区，并根据空气质量改善要求，规定实施步骤，逐步扩大高污染燃料禁燃区范围。</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在禁燃区内，禁止销售、燃用高污染燃料；禁止新建、扩建燃用高污染燃料的设施，已建成的，应当在城市人民政府规定的期限内改用清洁能源。</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val="en-US" w:eastAsia="zh-CN"/>
              </w:rPr>
            </w:pPr>
            <w:r>
              <w:rPr>
                <w:rFonts w:hint="eastAsia" w:ascii="楷体_GB2312" w:hAnsi="楷体_GB2312" w:eastAsia="楷体_GB2312" w:cs="楷体_GB2312"/>
                <w:color w:val="auto"/>
                <w:sz w:val="24"/>
                <w:szCs w:val="24"/>
                <w:vertAlign w:val="baseline"/>
                <w:lang w:val="en-US" w:eastAsia="zh-CN"/>
              </w:rPr>
              <w:t>（删）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 xml:space="preserve">第二十二条  </w:t>
            </w:r>
            <w:r>
              <w:rPr>
                <w:rFonts w:hint="eastAsia" w:ascii="仿宋_GB2312" w:eastAsia="仿宋_GB2312" w:cs="宋体"/>
                <w:snapToGrid w:val="0"/>
                <w:color w:val="auto"/>
                <w:sz w:val="24"/>
                <w:szCs w:val="24"/>
              </w:rPr>
              <w:t>市、区（县）人民政府应当优化热源点规划布局，推动热电联产富余热能覆盖范围合理延伸；新增供热全部使用清洁能源，优先发展分布式清洁能源集中供暖。</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vertAlign w:val="baseline"/>
              </w:rPr>
            </w:pPr>
            <w:r>
              <w:rPr>
                <w:rFonts w:hint="eastAsia" w:ascii="黑体" w:hAnsi="黑体" w:eastAsia="黑体" w:cs="黑体"/>
                <w:b/>
                <w:bCs/>
                <w:snapToGrid w:val="0"/>
                <w:color w:val="auto"/>
                <w:sz w:val="24"/>
                <w:szCs w:val="24"/>
                <w:lang w:val="en-US" w:eastAsia="zh-CN"/>
              </w:rPr>
              <w:t>第十一条</w:t>
            </w:r>
            <w:r>
              <w:rPr>
                <w:rFonts w:hint="eastAsia" w:ascii="黑体" w:hAnsi="黑体" w:eastAsia="黑体" w:cs="宋体"/>
                <w:snapToGrid w:val="0"/>
                <w:color w:val="auto"/>
                <w:sz w:val="24"/>
                <w:szCs w:val="24"/>
                <w:bdr w:val="single" w:color="000000" w:sz="4" w:space="0"/>
              </w:rPr>
              <w:t>第二十二条</w:t>
            </w:r>
            <w:r>
              <w:rPr>
                <w:rFonts w:hint="eastAsia" w:ascii="黑体" w:hAnsi="黑体" w:eastAsia="黑体" w:cs="宋体"/>
                <w:snapToGrid w:val="0"/>
                <w:color w:val="auto"/>
                <w:sz w:val="24"/>
                <w:szCs w:val="24"/>
              </w:rPr>
              <w:t xml:space="preserve">  </w:t>
            </w:r>
            <w:r>
              <w:rPr>
                <w:rFonts w:hint="eastAsia" w:ascii="仿宋_GB2312" w:eastAsia="仿宋_GB2312" w:cs="宋体"/>
                <w:snapToGrid w:val="0"/>
                <w:color w:val="auto"/>
                <w:sz w:val="24"/>
                <w:szCs w:val="24"/>
              </w:rPr>
              <w:t>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rPr>
              <w:t>县（区）</w:t>
            </w:r>
            <w:r>
              <w:rPr>
                <w:rFonts w:hint="eastAsia" w:ascii="仿宋_GB2312" w:eastAsia="仿宋_GB2312" w:cs="宋体"/>
                <w:snapToGrid w:val="0"/>
                <w:color w:val="auto"/>
                <w:sz w:val="24"/>
                <w:szCs w:val="24"/>
              </w:rPr>
              <w:t>人民政府应当优化热源点规划布局，推动热电联产富余热能覆盖范围合理延伸；新增供热全部使用清洁能源，优先发展分布式清洁能源集中供暖。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rPr>
            </w:pPr>
            <w:r>
              <w:rPr>
                <w:rFonts w:hint="eastAsia" w:ascii="黑体" w:hAnsi="黑体" w:eastAsia="黑体" w:cs="宋体"/>
                <w:snapToGrid w:val="0"/>
                <w:color w:val="auto"/>
                <w:sz w:val="24"/>
                <w:szCs w:val="24"/>
              </w:rPr>
              <w:t>第二十三条</w:t>
            </w:r>
            <w:r>
              <w:rPr>
                <w:rFonts w:hint="eastAsia" w:ascii="楷体_GB2312"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本市严格控制污染大气的产业发展，禁止新建、改建、扩建严重污染大气的石油化工、煤化工等项目。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市工业和信息化主管部门按照国家和本省淘汰落后生产工艺、设备和产品指导目录的规定，会同市发展改革、生态环境等主管部门提出本市淘汰落后产能计划，并制定产业转型升级计划，报市人民政府批准后公布并组织实施。</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黑体" w:hAnsi="黑体" w:eastAsia="黑体" w:cs="黑体"/>
                <w:b/>
                <w:bCs/>
                <w:snapToGrid w:val="0"/>
                <w:color w:val="auto"/>
                <w:sz w:val="24"/>
                <w:szCs w:val="24"/>
                <w:lang w:val="en-US" w:eastAsia="zh-CN"/>
              </w:rPr>
              <w:t>第十二条</w:t>
            </w:r>
            <w:r>
              <w:rPr>
                <w:rFonts w:hint="eastAsia" w:ascii="黑体" w:hAnsi="黑体" w:eastAsia="黑体" w:cs="宋体"/>
                <w:snapToGrid w:val="0"/>
                <w:color w:val="auto"/>
                <w:sz w:val="24"/>
                <w:szCs w:val="24"/>
                <w:bdr w:val="single" w:color="000000" w:sz="4" w:space="0"/>
              </w:rPr>
              <w:t>第二十三条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第二十四条</w:t>
            </w:r>
            <w:r>
              <w:rPr>
                <w:rFonts w:hint="eastAsia" w:ascii="仿宋_GB2312" w:eastAsia="仿宋_GB2312" w:cs="宋体"/>
                <w:snapToGrid w:val="0"/>
                <w:color w:val="auto"/>
                <w:sz w:val="24"/>
                <w:szCs w:val="24"/>
              </w:rPr>
              <w:t xml:space="preserve">  水泥、陶瓷、砖瓦等大气污染重点工业企业，应当采取防治措施，使二氧化硫、氮氧化物、颗粒物等大气污染物排放浓度符合关中地区重点行业大气污染物排放标准。</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eastAsia="zh-CN"/>
              </w:rPr>
            </w:pPr>
            <w:r>
              <w:rPr>
                <w:rFonts w:hint="eastAsia" w:ascii="黑体" w:hAnsi="黑体" w:eastAsia="黑体" w:cs="宋体"/>
                <w:b/>
                <w:bCs/>
                <w:snapToGrid w:val="0"/>
                <w:color w:val="auto"/>
                <w:sz w:val="24"/>
                <w:szCs w:val="24"/>
                <w:lang w:val="en-US" w:eastAsia="zh-CN"/>
              </w:rPr>
              <w:t>第十三条</w:t>
            </w:r>
            <w:r>
              <w:rPr>
                <w:rFonts w:hint="eastAsia" w:ascii="黑体" w:hAnsi="黑体" w:eastAsia="黑体" w:cs="宋体"/>
                <w:snapToGrid w:val="0"/>
                <w:color w:val="auto"/>
                <w:sz w:val="24"/>
                <w:szCs w:val="24"/>
                <w:bdr w:val="single" w:color="000000" w:sz="4" w:space="0"/>
              </w:rPr>
              <w:t>第二十四条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highlight w:val="none"/>
                <w:u w:val="none" w:color="auto"/>
              </w:rPr>
            </w:pPr>
            <w:r>
              <w:rPr>
                <w:rFonts w:hint="eastAsia" w:ascii="黑体" w:hAnsi="黑体" w:eastAsia="黑体" w:cs="宋体"/>
                <w:snapToGrid w:val="0"/>
                <w:color w:val="auto"/>
                <w:sz w:val="24"/>
                <w:szCs w:val="24"/>
                <w:highlight w:val="none"/>
                <w:u w:val="none" w:color="auto"/>
              </w:rPr>
              <w:t>第二十五条</w:t>
            </w:r>
            <w:r>
              <w:rPr>
                <w:rFonts w:hint="eastAsia" w:ascii="楷体_GB2312" w:hAnsi="黑体" w:eastAsia="楷体_GB2312" w:cs="宋体"/>
                <w:snapToGrid w:val="0"/>
                <w:color w:val="auto"/>
                <w:sz w:val="24"/>
                <w:szCs w:val="24"/>
                <w:highlight w:val="none"/>
                <w:u w:val="none" w:color="auto"/>
              </w:rPr>
              <w:t xml:space="preserve">  </w:t>
            </w:r>
            <w:r>
              <w:rPr>
                <w:rFonts w:hint="eastAsia" w:ascii="仿宋_GB2312" w:eastAsia="仿宋_GB2312" w:cs="宋体"/>
                <w:snapToGrid w:val="0"/>
                <w:color w:val="auto"/>
                <w:sz w:val="24"/>
                <w:szCs w:val="24"/>
                <w:highlight w:val="none"/>
                <w:u w:val="none" w:color="auto"/>
              </w:rPr>
              <w:t>下列产生含挥发性有机物废气的生产和服务活动，应当优先使用低挥发性有机物含量原材料和低排放环保工艺，按照规定在密闭空间或者设备中进行，并按照规定安装、使用污染防治设施；无法密闭或者不适宜密闭的，应当采取有效措施减少废气排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highlight w:val="none"/>
                <w:u w:val="none" w:color="auto"/>
              </w:rPr>
            </w:pPr>
            <w:r>
              <w:rPr>
                <w:rFonts w:hint="eastAsia" w:ascii="仿宋_GB2312" w:eastAsia="仿宋_GB2312" w:cs="宋体"/>
                <w:snapToGrid w:val="0"/>
                <w:color w:val="auto"/>
                <w:sz w:val="24"/>
                <w:szCs w:val="24"/>
                <w:highlight w:val="none"/>
                <w:u w:val="none" w:color="auto"/>
              </w:rPr>
              <w:t>（一）燃油、溶剂的储存、运输和销售；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color="auto"/>
              </w:rPr>
            </w:pPr>
            <w:r>
              <w:rPr>
                <w:rFonts w:hint="eastAsia" w:ascii="仿宋_GB2312" w:eastAsia="仿宋_GB2312" w:cs="宋体"/>
                <w:snapToGrid w:val="0"/>
                <w:color w:val="auto"/>
                <w:sz w:val="24"/>
                <w:szCs w:val="24"/>
                <w:highlight w:val="none"/>
                <w:u w:val="none" w:color="auto"/>
              </w:rPr>
              <w:t>（二）涂料、油墨、胶粘剂等以挥发性有机物为原料的生产活动；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color="auto"/>
              </w:rPr>
            </w:pPr>
            <w:r>
              <w:rPr>
                <w:rFonts w:hint="eastAsia" w:ascii="仿宋_GB2312" w:eastAsia="仿宋_GB2312" w:cs="宋体"/>
                <w:snapToGrid w:val="0"/>
                <w:color w:val="auto"/>
                <w:sz w:val="24"/>
                <w:szCs w:val="24"/>
                <w:highlight w:val="none"/>
                <w:u w:val="none" w:color="auto"/>
              </w:rPr>
              <w:t>（三）表面涂装、包装印刷、粘合、工业清洗等使用含挥发性有机物产品的生产活动；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color="auto"/>
              </w:rPr>
            </w:pPr>
            <w:r>
              <w:rPr>
                <w:rFonts w:hint="eastAsia" w:ascii="仿宋_GB2312" w:eastAsia="仿宋_GB2312" w:cs="宋体"/>
                <w:snapToGrid w:val="0"/>
                <w:color w:val="auto"/>
                <w:sz w:val="24"/>
                <w:szCs w:val="24"/>
                <w:highlight w:val="none"/>
                <w:u w:val="none" w:color="auto"/>
              </w:rPr>
              <w:t>（四）其他产生挥发性有机物的生产和服务活动。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highlight w:val="none"/>
                <w:u w:val="none" w:color="auto"/>
              </w:rPr>
              <w:t>从事服装干洗和机动车维修等服务活动的经营者，应当按照国家有关标准或者要求设置异味和废气处理装置等污染防治设施并保持正常使用，防止影响周边环境。</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val="en-US" w:eastAsia="zh-CN"/>
              </w:rPr>
            </w:pPr>
            <w:r>
              <w:rPr>
                <w:rFonts w:hint="eastAsia" w:ascii="黑体" w:hAnsi="黑体" w:eastAsia="黑体" w:cs="宋体"/>
                <w:b/>
                <w:bCs/>
                <w:snapToGrid w:val="0"/>
                <w:color w:val="auto"/>
                <w:sz w:val="24"/>
                <w:szCs w:val="24"/>
                <w:lang w:val="en-US" w:eastAsia="zh-CN"/>
              </w:rPr>
              <w:t>第十四条</w:t>
            </w:r>
            <w:r>
              <w:rPr>
                <w:rFonts w:hint="eastAsia" w:ascii="黑体" w:hAnsi="黑体" w:eastAsia="黑体" w:cs="宋体"/>
                <w:snapToGrid w:val="0"/>
                <w:color w:val="auto"/>
                <w:sz w:val="24"/>
                <w:szCs w:val="24"/>
                <w:highlight w:val="none"/>
                <w:u w:val="none" w:color="auto"/>
                <w:bdr w:val="single" w:color="000000" w:sz="4" w:space="0"/>
              </w:rPr>
              <w:t>第二十五条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rPr>
            </w:pPr>
            <w:r>
              <w:rPr>
                <w:rFonts w:hint="eastAsia" w:ascii="黑体" w:hAnsi="黑体" w:eastAsia="黑体" w:cs="宋体"/>
                <w:snapToGrid w:val="0"/>
                <w:color w:val="auto"/>
                <w:sz w:val="24"/>
                <w:szCs w:val="24"/>
              </w:rPr>
              <w:t>第</w:t>
            </w:r>
            <w:r>
              <w:rPr>
                <w:rFonts w:hint="eastAsia" w:ascii="黑体" w:hAnsi="黑体" w:eastAsia="黑体" w:cs="宋体"/>
                <w:snapToGrid w:val="0"/>
                <w:color w:val="auto"/>
                <w:spacing w:val="-6"/>
                <w:sz w:val="24"/>
                <w:szCs w:val="24"/>
              </w:rPr>
              <w:t>二十六条</w:t>
            </w:r>
            <w:r>
              <w:rPr>
                <w:rFonts w:hint="eastAsia" w:ascii="仿宋_GB2312" w:eastAsia="仿宋_GB2312" w:cs="宋体"/>
                <w:snapToGrid w:val="0"/>
                <w:color w:val="auto"/>
                <w:spacing w:val="-6"/>
                <w:sz w:val="24"/>
                <w:szCs w:val="24"/>
              </w:rPr>
              <w:t xml:space="preserve">  本市提倡绿色出行，政府优先发展公共交通事业，每年开展城市无车日宣传活动，鼓励公众使用公共交通工具出行。</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机关、事业单位、国有企业等应当率先使用新能源和清洁能源机动车。</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第十五条</w:t>
            </w:r>
            <w:r>
              <w:rPr>
                <w:rFonts w:hint="eastAsia" w:ascii="黑体" w:hAnsi="黑体" w:eastAsia="黑体" w:cs="宋体"/>
                <w:snapToGrid w:val="0"/>
                <w:color w:val="auto"/>
                <w:sz w:val="24"/>
                <w:szCs w:val="24"/>
                <w:bdr w:val="single" w:color="000000" w:sz="4" w:space="0"/>
              </w:rPr>
              <w:t>第</w:t>
            </w:r>
            <w:r>
              <w:rPr>
                <w:rFonts w:hint="eastAsia" w:ascii="黑体" w:hAnsi="黑体" w:eastAsia="黑体" w:cs="宋体"/>
                <w:snapToGrid w:val="0"/>
                <w:color w:val="auto"/>
                <w:spacing w:val="-6"/>
                <w:sz w:val="24"/>
                <w:szCs w:val="24"/>
                <w:bdr w:val="single" w:color="000000" w:sz="4" w:space="0"/>
              </w:rPr>
              <w:t>二十六条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第二十七条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鼓励提前淘汰高油耗、高排放的机动车和非道路移动机械。推广节能环保型机动车和非道路移动机械的使用。</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第十六条</w:t>
            </w:r>
            <w:r>
              <w:rPr>
                <w:rFonts w:hint="eastAsia" w:ascii="黑体" w:hAnsi="黑体" w:eastAsia="黑体" w:cs="宋体"/>
                <w:snapToGrid w:val="0"/>
                <w:color w:val="auto"/>
                <w:sz w:val="24"/>
                <w:szCs w:val="24"/>
                <w:bdr w:val="single" w:color="000000" w:sz="4" w:space="0"/>
              </w:rPr>
              <w:t>第二十七条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第二十八条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对发现的排放不达标的重点车型纳入机动车重点监控名单，由公安机关交通管理、交通运输等部门按照各自职责进行监督管理。</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left"/>
              <w:textAlignment w:val="auto"/>
              <w:rPr>
                <w:rFonts w:hint="eastAsia" w:ascii="仿宋_GB2312" w:hAnsi="仿宋_GB2312" w:eastAsia="仿宋_GB2312" w:cs="仿宋_GB2312"/>
                <w:color w:val="auto"/>
                <w:sz w:val="24"/>
                <w:szCs w:val="24"/>
                <w:highlight w:val="none"/>
                <w:u w:val="none"/>
              </w:rPr>
            </w:pPr>
            <w:r>
              <w:rPr>
                <w:rFonts w:hint="eastAsia" w:ascii="黑体" w:hAnsi="黑体" w:eastAsia="黑体" w:cs="宋体"/>
                <w:b/>
                <w:bCs/>
                <w:snapToGrid w:val="0"/>
                <w:color w:val="auto"/>
                <w:sz w:val="24"/>
                <w:szCs w:val="24"/>
                <w:u w:val="none"/>
                <w:lang w:val="en-US" w:eastAsia="zh-CN"/>
              </w:rPr>
              <w:t>第十七条</w:t>
            </w:r>
            <w:r>
              <w:rPr>
                <w:rFonts w:hint="eastAsia" w:ascii="黑体" w:hAnsi="黑体" w:eastAsia="黑体" w:cs="宋体"/>
                <w:snapToGrid w:val="0"/>
                <w:color w:val="auto"/>
                <w:sz w:val="24"/>
                <w:szCs w:val="24"/>
                <w:u w:val="none"/>
                <w:bdr w:val="single" w:color="000000" w:sz="4" w:space="0"/>
              </w:rPr>
              <w:t>第二十</w:t>
            </w:r>
            <w:r>
              <w:rPr>
                <w:rFonts w:hint="eastAsia" w:ascii="黑体" w:hAnsi="黑体" w:eastAsia="黑体" w:cs="宋体"/>
                <w:snapToGrid w:val="0"/>
                <w:color w:val="auto"/>
                <w:sz w:val="24"/>
                <w:szCs w:val="24"/>
                <w:u w:val="none"/>
                <w:bdr w:val="single" w:color="000000" w:sz="4" w:space="0"/>
                <w:lang w:val="en-US" w:eastAsia="zh-CN"/>
              </w:rPr>
              <w:t>八</w:t>
            </w:r>
            <w:r>
              <w:rPr>
                <w:rFonts w:hint="eastAsia" w:ascii="黑体" w:hAnsi="黑体" w:eastAsia="黑体" w:cs="宋体"/>
                <w:snapToGrid w:val="0"/>
                <w:color w:val="auto"/>
                <w:sz w:val="24"/>
                <w:szCs w:val="24"/>
                <w:u w:val="none"/>
                <w:bdr w:val="single" w:color="000000" w:sz="4" w:space="0"/>
              </w:rPr>
              <w:t>条</w:t>
            </w:r>
            <w:r>
              <w:rPr>
                <w:rFonts w:hint="eastAsia" w:ascii="楷体_GB2312" w:hAnsi="黑体" w:eastAsia="楷体_GB2312" w:cs="宋体"/>
                <w:snapToGrid w:val="0"/>
                <w:color w:val="auto"/>
                <w:sz w:val="24"/>
                <w:szCs w:val="24"/>
                <w:u w:val="none"/>
              </w:rPr>
              <w:t xml:space="preserve"> </w:t>
            </w:r>
            <w:r>
              <w:rPr>
                <w:rFonts w:hint="eastAsia" w:ascii="仿宋_GB2312" w:hAnsi="仿宋_GB2312" w:eastAsia="仿宋_GB2312" w:cs="仿宋_GB2312"/>
                <w:color w:val="auto"/>
                <w:sz w:val="24"/>
                <w:szCs w:val="24"/>
                <w:highlight w:val="none"/>
                <w:u w:val="none"/>
              </w:rPr>
              <w:t>生态环境主管部门可以在机动车集中停放地、维修地</w:t>
            </w:r>
            <w:r>
              <w:rPr>
                <w:rFonts w:hint="eastAsia" w:ascii="黑体" w:hAnsi="黑体" w:eastAsia="黑体" w:cs="宋体"/>
                <w:b/>
                <w:bCs/>
                <w:snapToGrid w:val="0"/>
                <w:color w:val="auto"/>
                <w:sz w:val="24"/>
                <w:szCs w:val="24"/>
                <w:u w:val="none"/>
                <w:lang w:val="en-US" w:eastAsia="zh-CN"/>
              </w:rPr>
              <w:t>和重型汽车使用地</w:t>
            </w:r>
            <w:r>
              <w:rPr>
                <w:rFonts w:hint="eastAsia" w:ascii="仿宋_GB2312" w:hAnsi="仿宋_GB2312" w:eastAsia="仿宋_GB2312" w:cs="仿宋_GB2312"/>
                <w:color w:val="auto"/>
                <w:sz w:val="24"/>
                <w:szCs w:val="24"/>
                <w:highlight w:val="none"/>
                <w:u w:val="none"/>
              </w:rPr>
              <w:t>对在用机动车的大气污染物排放状况</w:t>
            </w:r>
            <w:r>
              <w:rPr>
                <w:rFonts w:hint="eastAsia" w:ascii="黑体" w:hAnsi="黑体" w:eastAsia="黑体" w:cs="宋体"/>
                <w:b/>
                <w:bCs/>
                <w:snapToGrid w:val="0"/>
                <w:color w:val="auto"/>
                <w:sz w:val="24"/>
                <w:szCs w:val="24"/>
                <w:u w:val="none"/>
                <w:lang w:val="en-US" w:eastAsia="zh-CN"/>
              </w:rPr>
              <w:t>、排放控制系统运行情况</w:t>
            </w:r>
            <w:r>
              <w:rPr>
                <w:rFonts w:hint="eastAsia" w:ascii="仿宋_GB2312" w:hAnsi="仿宋_GB2312" w:eastAsia="仿宋_GB2312" w:cs="仿宋_GB2312"/>
                <w:color w:val="auto"/>
                <w:sz w:val="24"/>
                <w:szCs w:val="24"/>
                <w:highlight w:val="none"/>
                <w:u w:val="none"/>
              </w:rPr>
              <w:t>进行监督抽测；在不影响正常通行的情况下，可以通过</w:t>
            </w:r>
            <w:r>
              <w:rPr>
                <w:rFonts w:hint="eastAsia" w:ascii="仿宋_GB2312" w:eastAsia="仿宋_GB2312" w:cs="宋体"/>
                <w:snapToGrid w:val="0"/>
                <w:color w:val="auto"/>
                <w:sz w:val="24"/>
                <w:szCs w:val="24"/>
                <w:bdr w:val="single" w:color="000000" w:sz="4" w:space="0"/>
              </w:rPr>
              <w:t>遥感</w:t>
            </w:r>
            <w:r>
              <w:rPr>
                <w:rFonts w:hint="eastAsia" w:ascii="黑体" w:hAnsi="黑体" w:eastAsia="黑体" w:cs="宋体"/>
                <w:b/>
                <w:bCs/>
                <w:snapToGrid w:val="0"/>
                <w:color w:val="auto"/>
                <w:sz w:val="24"/>
                <w:szCs w:val="24"/>
                <w:u w:val="none"/>
                <w:lang w:val="en-US" w:eastAsia="zh-CN"/>
              </w:rPr>
              <w:t>非接触式道路</w:t>
            </w:r>
            <w:r>
              <w:rPr>
                <w:rFonts w:hint="eastAsia" w:ascii="仿宋_GB2312" w:hAnsi="仿宋_GB2312" w:eastAsia="仿宋_GB2312" w:cs="仿宋_GB2312"/>
                <w:color w:val="auto"/>
                <w:sz w:val="24"/>
                <w:szCs w:val="24"/>
                <w:highlight w:val="none"/>
                <w:u w:val="none"/>
              </w:rPr>
              <w:t>监测等技术手段对在道路上行驶的机动车的大气污染物排放状况</w:t>
            </w:r>
            <w:r>
              <w:rPr>
                <w:rFonts w:hint="eastAsia" w:ascii="黑体" w:hAnsi="黑体" w:eastAsia="黑体" w:cs="宋体"/>
                <w:b/>
                <w:bCs/>
                <w:snapToGrid w:val="0"/>
                <w:color w:val="auto"/>
                <w:sz w:val="24"/>
                <w:szCs w:val="24"/>
                <w:u w:val="none"/>
                <w:lang w:val="en-US" w:eastAsia="zh-CN"/>
              </w:rPr>
              <w:t>、排放控制系统运行情况</w:t>
            </w:r>
            <w:r>
              <w:rPr>
                <w:rFonts w:hint="eastAsia" w:ascii="仿宋_GB2312" w:hAnsi="仿宋_GB2312" w:eastAsia="仿宋_GB2312" w:cs="仿宋_GB2312"/>
                <w:color w:val="auto"/>
                <w:sz w:val="24"/>
                <w:szCs w:val="24"/>
                <w:highlight w:val="none"/>
                <w:u w:val="none"/>
              </w:rPr>
              <w:t>进行监督抽测，公安机关交通管理部门予以配合。</w:t>
            </w:r>
          </w:p>
          <w:p>
            <w:pPr>
              <w:keepNext w:val="0"/>
              <w:keepLines w:val="0"/>
              <w:pageBreakBefore w:val="0"/>
              <w:widowControl w:val="0"/>
              <w:kinsoku/>
              <w:wordWrap/>
              <w:overflowPunct/>
              <w:topLinePunct w:val="0"/>
              <w:autoSpaceDE/>
              <w:autoSpaceDN/>
              <w:bidi w:val="0"/>
              <w:adjustRightInd/>
              <w:snapToGrid/>
              <w:spacing w:line="460" w:lineRule="exact"/>
              <w:ind w:firstLine="480"/>
              <w:jc w:val="left"/>
              <w:textAlignment w:val="auto"/>
              <w:rPr>
                <w:rFonts w:hint="default" w:ascii="仿宋_GB2312" w:eastAsia="仿宋_GB2312" w:cs="宋体"/>
                <w:snapToGrid w:val="0"/>
                <w:color w:val="auto"/>
                <w:sz w:val="24"/>
                <w:szCs w:val="24"/>
                <w:lang w:val="en-US" w:eastAsia="zh-CN"/>
              </w:rPr>
            </w:pPr>
            <w:r>
              <w:rPr>
                <w:rFonts w:hint="eastAsia" w:ascii="仿宋_GB2312" w:eastAsia="仿宋_GB2312" w:cs="宋体"/>
                <w:snapToGrid w:val="0"/>
                <w:color w:val="auto"/>
                <w:sz w:val="24"/>
                <w:szCs w:val="24"/>
              </w:rPr>
              <w:t>对发现的排放不达标的重点车型纳入机动车重点监控名单，由公安机关交通管理、交通运输等部门按照各自职责进行监督管理。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rPr>
            </w:pPr>
            <w:r>
              <w:rPr>
                <w:rFonts w:hint="eastAsia" w:ascii="黑体" w:hAnsi="黑体" w:eastAsia="黑体" w:cs="宋体"/>
                <w:snapToGrid w:val="0"/>
                <w:color w:val="auto"/>
                <w:sz w:val="24"/>
                <w:szCs w:val="24"/>
              </w:rPr>
              <w:t>第二十九条</w:t>
            </w:r>
            <w:r>
              <w:rPr>
                <w:rFonts w:hint="eastAsia" w:ascii="仿宋_GB2312" w:eastAsia="仿宋_GB2312" w:cs="宋体"/>
                <w:snapToGrid w:val="0"/>
                <w:color w:val="auto"/>
                <w:sz w:val="24"/>
                <w:szCs w:val="24"/>
              </w:rPr>
              <w:t xml:space="preserve">  机动车维修单位进行与机动车排放有关的维修和保养应当按照防治大气污染的要求和国家有关技术规范，维修保养后的机动车应当达到规定的排放标准。交通运输、生态环境主管部门应当依法加强监督管理。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禁止机动车所有人以临时更换机动车污染控制装置等弄虚作假的方式通过机动车排放检验。禁止机动车维修单位提供该类维修服务。禁止破坏机动车车载排放诊断系统。</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第三十条</w:t>
            </w:r>
            <w:r>
              <w:rPr>
                <w:rFonts w:hint="eastAsia" w:ascii="仿宋_GB2312" w:eastAsia="仿宋_GB2312" w:cs="宋体"/>
                <w:snapToGrid w:val="0"/>
                <w:color w:val="auto"/>
                <w:sz w:val="24"/>
                <w:szCs w:val="24"/>
              </w:rPr>
              <w:t xml:space="preserve">  建设单位应当建立扬尘控制责任制度，履行下列扬尘污染防治措施：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（一）在施工前向工程主管部门、生态环境主管部门提交工地扬尘污染防治方案；</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（二）将防治扬尘污染的费用列入工程造价；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rPr>
            </w:pPr>
            <w:r>
              <w:rPr>
                <w:rFonts w:hint="eastAsia" w:ascii="仿宋_GB2312" w:eastAsia="仿宋_GB2312" w:cs="宋体"/>
                <w:snapToGrid w:val="0"/>
                <w:color w:val="auto"/>
                <w:sz w:val="24"/>
                <w:szCs w:val="24"/>
              </w:rPr>
              <w:t>（三）将施工现场扬尘污染防治措施列入招标文件；</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rPr>
            </w:pPr>
            <w:r>
              <w:rPr>
                <w:rFonts w:hint="eastAsia" w:ascii="仿宋_GB2312" w:eastAsia="仿宋_GB2312" w:cs="宋体"/>
                <w:snapToGrid w:val="0"/>
                <w:color w:val="auto"/>
                <w:sz w:val="24"/>
                <w:szCs w:val="24"/>
              </w:rPr>
              <w:t>（四）在施工承包合同中明确施工单位扬尘污染防治责任并监督落实；</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lang w:eastAsia="zh-CN"/>
              </w:rPr>
            </w:pPr>
            <w:r>
              <w:rPr>
                <w:rFonts w:hint="eastAsia" w:ascii="仿宋_GB2312" w:eastAsia="仿宋_GB2312" w:cs="宋体"/>
                <w:snapToGrid w:val="0"/>
                <w:color w:val="auto"/>
                <w:sz w:val="24"/>
                <w:szCs w:val="24"/>
              </w:rPr>
              <w:t>（五）对暂时不能开工的建设用地裸露地面进行覆盖，超过三个月的，应当进行绿化、铺装或者遮盖</w:t>
            </w:r>
            <w:r>
              <w:rPr>
                <w:rFonts w:hint="eastAsia" w:ascii="仿宋_GB2312" w:eastAsia="仿宋_GB2312" w:cs="宋体"/>
                <w:snapToGrid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（六）法律、法规规定的其他扬尘污染防治措施。</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240" w:firstLineChars="1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第十八条</w:t>
            </w:r>
            <w:r>
              <w:rPr>
                <w:rFonts w:hint="eastAsia" w:ascii="黑体" w:hAnsi="黑体" w:eastAsia="黑体" w:cs="宋体"/>
                <w:snapToGrid w:val="0"/>
                <w:color w:val="auto"/>
                <w:sz w:val="24"/>
                <w:szCs w:val="24"/>
                <w:bdr w:val="single" w:color="000000" w:sz="4" w:space="0"/>
              </w:rPr>
              <w:t>第三十条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 xml:space="preserve">第三十一条  </w:t>
            </w:r>
            <w:r>
              <w:rPr>
                <w:rFonts w:hint="eastAsia" w:ascii="仿宋_GB2312" w:eastAsia="仿宋_GB2312" w:cs="宋体"/>
                <w:snapToGrid w:val="0"/>
                <w:color w:val="auto"/>
                <w:sz w:val="24"/>
                <w:szCs w:val="24"/>
              </w:rPr>
              <w:t>施工单位应当按照工地扬尘污染防治方案的要求施工，在施工现场出入口公示扬尘污染控制措施、负责人、环保监督员、扬尘监督管理主管部门、举报电话等信息，接受社会监督。</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施</w:t>
            </w:r>
            <w:r>
              <w:rPr>
                <w:rFonts w:hint="eastAsia" w:ascii="仿宋_GB2312" w:eastAsia="仿宋_GB2312" w:cs="宋体"/>
                <w:snapToGrid w:val="0"/>
                <w:color w:val="auto"/>
                <w:spacing w:val="-11"/>
                <w:sz w:val="24"/>
                <w:szCs w:val="24"/>
              </w:rPr>
              <w:t>工单位应当在施工工地周围设置硬质封闭围挡，并采取覆盖、分段作业、择时施工、洒水抑尘、冲洗地面和车辆等有效防尘措施: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 w:hAnsi="仿宋" w:eastAsia="仿宋" w:cs="仿宋"/>
                <w:snapToGrid w:val="0"/>
                <w:color w:val="auto"/>
                <w:sz w:val="24"/>
                <w:szCs w:val="24"/>
                <w:highlight w:val="green"/>
              </w:rPr>
            </w:pPr>
            <w:r>
              <w:rPr>
                <w:rFonts w:hint="eastAsia" w:ascii="仿宋_GB2312" w:eastAsia="仿宋_GB2312" w:cs="宋体"/>
                <w:snapToGrid w:val="0"/>
                <w:color w:val="auto"/>
                <w:sz w:val="24"/>
                <w:szCs w:val="24"/>
              </w:rPr>
              <w:t>（一）工地内暂未施工的区域应当覆盖、硬化或者绿化；</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黑体"/>
                <w:b/>
                <w:bCs/>
                <w:snapToGrid w:val="0"/>
                <w:color w:val="auto"/>
                <w:sz w:val="24"/>
                <w:szCs w:val="24"/>
              </w:rPr>
            </w:pPr>
            <w:r>
              <w:rPr>
                <w:rFonts w:hint="eastAsia" w:ascii="仿宋_GB2312" w:eastAsia="仿宋_GB2312" w:cs="宋体"/>
                <w:snapToGrid w:val="0"/>
                <w:color w:val="auto"/>
                <w:sz w:val="24"/>
                <w:szCs w:val="24"/>
              </w:rPr>
              <w:t>（二）土方、拆除、洗刨工程作业时应当分段作业，采取洒水压尘措施，缩短起尘操作时间；气象预报风速达到四级以上或者出现重污染天气状况时，城市建成区应当停止土石方作业、拆除工程以及其他可能产生扬尘污染的施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（三</w:t>
            </w:r>
            <w:r>
              <w:rPr>
                <w:rFonts w:hint="eastAsia" w:ascii="仿宋_GB2312" w:eastAsia="仿宋_GB2312" w:cs="宋体"/>
                <w:snapToGrid w:val="0"/>
                <w:color w:val="auto"/>
                <w:spacing w:val="-11"/>
                <w:sz w:val="24"/>
                <w:szCs w:val="24"/>
              </w:rPr>
              <w:t>）在施工工地出口设置高压冲洗车辆设施及配套的排水、泥浆沉淀设施，禁止未经冲洗的施工车辆上路行驶；周边一百米以内的道路应当保持清洁，不得存留建筑垃圾和泥土；</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施工工地建筑结构脚手架外侧设置密目式防尘网，在建筑物、构筑物上运送散装物料，应当采用密闭方式清运，禁止高空抛掷、扬撒；铺贴各类瓷砖、石板材等装饰块件的，应当采取措施防止扬尘污染。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pacing w:val="-11"/>
                <w:sz w:val="24"/>
                <w:szCs w:val="24"/>
                <w:lang w:eastAsia="zh-CN"/>
              </w:rPr>
            </w:pPr>
            <w:r>
              <w:rPr>
                <w:rFonts w:hint="eastAsia" w:ascii="仿宋_GB2312" w:eastAsia="仿宋_GB2312" w:cs="宋体"/>
                <w:snapToGrid w:val="0"/>
                <w:color w:val="auto"/>
                <w:sz w:val="24"/>
                <w:szCs w:val="24"/>
              </w:rPr>
              <w:t>建</w:t>
            </w:r>
            <w:r>
              <w:rPr>
                <w:rFonts w:hint="eastAsia" w:ascii="仿宋_GB2312" w:eastAsia="仿宋_GB2312" w:cs="宋体"/>
                <w:snapToGrid w:val="0"/>
                <w:color w:val="auto"/>
                <w:spacing w:val="-11"/>
                <w:sz w:val="24"/>
                <w:szCs w:val="24"/>
              </w:rPr>
              <w:t>筑土方、工程渣土、建筑垃圾应当及时清运；在场地内堆存的，应当采用密闭式防尘网遮盖。工程渣土、建筑垃圾应当进行资源化处理</w:t>
            </w:r>
            <w:r>
              <w:rPr>
                <w:rFonts w:hint="eastAsia" w:ascii="仿宋_GB2312" w:eastAsia="仿宋_GB2312" w:cs="宋体"/>
                <w:snapToGrid w:val="0"/>
                <w:color w:val="auto"/>
                <w:spacing w:val="-11"/>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lang w:eastAsia="zh-CN"/>
              </w:rPr>
            </w:pPr>
            <w:r>
              <w:rPr>
                <w:rFonts w:hint="eastAsia" w:ascii="仿宋_GB2312" w:eastAsia="仿宋_GB2312" w:cs="宋体"/>
                <w:snapToGrid w:val="0"/>
                <w:color w:val="auto"/>
                <w:sz w:val="24"/>
                <w:szCs w:val="24"/>
              </w:rPr>
              <w:t>从</w:t>
            </w:r>
            <w:r>
              <w:rPr>
                <w:rFonts w:hint="eastAsia" w:ascii="仿宋_GB2312" w:eastAsia="仿宋_GB2312" w:cs="宋体"/>
                <w:snapToGrid w:val="0"/>
                <w:color w:val="auto"/>
                <w:spacing w:val="-6"/>
                <w:sz w:val="24"/>
                <w:szCs w:val="24"/>
              </w:rPr>
              <w:t>事房屋建筑、市政基础设施建设、河道整治以及建筑物拆除等施工单位，应当向负责监督管理扬尘污染防治的主管部门备案</w:t>
            </w:r>
            <w:r>
              <w:rPr>
                <w:rFonts w:hint="eastAsia" w:ascii="仿宋_GB2312" w:eastAsia="仿宋_GB2312" w:cs="宋体"/>
                <w:snapToGrid w:val="0"/>
                <w:color w:val="auto"/>
                <w:spacing w:val="-6"/>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法</w:t>
            </w:r>
            <w:r>
              <w:rPr>
                <w:rFonts w:hint="eastAsia" w:ascii="仿宋_GB2312" w:eastAsia="仿宋_GB2312" w:cs="宋体"/>
                <w:snapToGrid w:val="0"/>
                <w:color w:val="auto"/>
                <w:spacing w:val="-11"/>
                <w:sz w:val="24"/>
                <w:szCs w:val="24"/>
              </w:rPr>
              <w:t>律、法规规定的其他扬尘污染防治措施。</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第十九条</w:t>
            </w:r>
            <w:r>
              <w:rPr>
                <w:rFonts w:hint="eastAsia" w:ascii="黑体" w:hAnsi="黑体" w:eastAsia="黑体" w:cs="宋体"/>
                <w:snapToGrid w:val="0"/>
                <w:color w:val="auto"/>
                <w:sz w:val="24"/>
                <w:szCs w:val="24"/>
                <w:bdr w:val="single" w:color="000000" w:sz="4" w:space="0"/>
              </w:rPr>
              <w:t>第三十一条</w:t>
            </w:r>
            <w:r>
              <w:rPr>
                <w:rFonts w:hint="eastAsia" w:ascii="黑体" w:hAnsi="黑体" w:eastAsia="黑体" w:cs="宋体"/>
                <w:snapToGrid w:val="0"/>
                <w:color w:val="auto"/>
                <w:sz w:val="24"/>
                <w:szCs w:val="24"/>
              </w:rPr>
              <w:t xml:space="preserve">  </w:t>
            </w:r>
            <w:r>
              <w:rPr>
                <w:rFonts w:hint="eastAsia" w:ascii="仿宋_GB2312" w:eastAsia="仿宋_GB2312" w:cs="宋体"/>
                <w:snapToGrid w:val="0"/>
                <w:color w:val="auto"/>
                <w:sz w:val="24"/>
                <w:szCs w:val="24"/>
              </w:rPr>
              <w:t>施工单位应当按照工地扬尘污染防治方案的要求施工，在施工现场出入口公示扬尘污染控制措施、负责人、环保监督员、扬尘监督管理主管部门、举报电话等信息，接受社会监督。</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施</w:t>
            </w:r>
            <w:r>
              <w:rPr>
                <w:rFonts w:hint="eastAsia" w:ascii="仿宋_GB2312" w:eastAsia="仿宋_GB2312" w:cs="宋体"/>
                <w:snapToGrid w:val="0"/>
                <w:color w:val="auto"/>
                <w:spacing w:val="-11"/>
                <w:sz w:val="24"/>
                <w:szCs w:val="24"/>
              </w:rPr>
              <w:t>工单位应当在施工工地周围设置硬质封闭围挡，并采取覆盖、分段作业、择时施工、洒水抑尘、冲洗地面和车辆等有效防尘措施: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 w:hAnsi="仿宋" w:eastAsia="仿宋" w:cs="仿宋"/>
                <w:snapToGrid w:val="0"/>
                <w:color w:val="auto"/>
                <w:sz w:val="24"/>
                <w:szCs w:val="24"/>
                <w:highlight w:val="green"/>
              </w:rPr>
            </w:pPr>
            <w:r>
              <w:rPr>
                <w:rFonts w:hint="eastAsia" w:ascii="仿宋_GB2312" w:eastAsia="仿宋_GB2312" w:cs="宋体"/>
                <w:snapToGrid w:val="0"/>
                <w:color w:val="auto"/>
                <w:sz w:val="24"/>
                <w:szCs w:val="24"/>
              </w:rPr>
              <w:t>（一）工地内暂未施工的区域应当覆盖、硬化或者绿化；</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黑体"/>
                <w:b/>
                <w:bCs/>
                <w:snapToGrid w:val="0"/>
                <w:color w:val="auto"/>
                <w:sz w:val="24"/>
                <w:szCs w:val="24"/>
              </w:rPr>
            </w:pPr>
            <w:r>
              <w:rPr>
                <w:rFonts w:hint="eastAsia" w:ascii="仿宋_GB2312" w:eastAsia="仿宋_GB2312" w:cs="宋体"/>
                <w:snapToGrid w:val="0"/>
                <w:color w:val="auto"/>
                <w:sz w:val="24"/>
                <w:szCs w:val="24"/>
              </w:rPr>
              <w:t>（二）</w:t>
            </w:r>
            <w:r>
              <w:rPr>
                <w:rFonts w:hint="eastAsia" w:ascii="仿宋_GB2312" w:eastAsia="仿宋_GB2312" w:cs="宋体"/>
                <w:snapToGrid w:val="0"/>
                <w:color w:val="auto"/>
                <w:spacing w:val="-11"/>
                <w:sz w:val="24"/>
                <w:szCs w:val="24"/>
                <w:shd w:val="clear" w:color="auto" w:fill="auto"/>
              </w:rPr>
              <w:t>土方、拆除、洗刨工程作业时应当分段作业，采取洒水</w:t>
            </w:r>
            <w:r>
              <w:rPr>
                <w:rFonts w:hint="eastAsia" w:ascii="仿宋_GB2312" w:eastAsia="仿宋_GB2312" w:cs="宋体"/>
                <w:snapToGrid w:val="0"/>
                <w:color w:val="auto"/>
                <w:spacing w:val="-11"/>
                <w:sz w:val="24"/>
                <w:szCs w:val="24"/>
                <w:shd w:val="clear" w:color="auto" w:fill="auto"/>
                <w:lang w:val="en-US" w:eastAsia="zh-CN"/>
              </w:rPr>
              <w:t>抑</w:t>
            </w:r>
            <w:r>
              <w:rPr>
                <w:rFonts w:hint="eastAsia" w:ascii="仿宋_GB2312" w:eastAsia="仿宋_GB2312" w:cs="宋体"/>
                <w:snapToGrid w:val="0"/>
                <w:color w:val="auto"/>
                <w:spacing w:val="-11"/>
                <w:sz w:val="24"/>
                <w:szCs w:val="24"/>
                <w:shd w:val="clear" w:color="auto" w:fill="auto"/>
              </w:rPr>
              <w:t>尘措施，缩短起尘操作时间；气象预报风速达到四级以上或者出现重污染天气状况时，城市建成区应当停止土石方作业、拆除工程以及其他可能产生扬尘污染的施工；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lang w:eastAsia="zh-CN"/>
              </w:rPr>
            </w:pPr>
            <w:r>
              <w:rPr>
                <w:rFonts w:hint="eastAsia" w:ascii="仿宋_GB2312" w:eastAsia="仿宋_GB2312" w:cs="宋体"/>
                <w:snapToGrid w:val="0"/>
                <w:color w:val="auto"/>
                <w:sz w:val="24"/>
                <w:szCs w:val="24"/>
              </w:rPr>
              <w:t>（三）</w:t>
            </w:r>
            <w:r>
              <w:rPr>
                <w:rFonts w:hint="eastAsia" w:ascii="仿宋_GB2312" w:eastAsia="仿宋_GB2312" w:cs="宋体"/>
                <w:snapToGrid w:val="0"/>
                <w:color w:val="auto"/>
                <w:spacing w:val="-11"/>
                <w:sz w:val="24"/>
                <w:szCs w:val="24"/>
              </w:rPr>
              <w:t>在施工工地出口设置高压冲洗车辆设施及配套的排水、泥浆沉淀设施，禁止未经冲洗的施工车辆上路行驶；周边一百米以内的道路应当保持清洁，不得存留建筑垃圾和泥土</w:t>
            </w:r>
            <w:r>
              <w:rPr>
                <w:rFonts w:hint="eastAsia" w:ascii="仿宋_GB2312" w:eastAsia="仿宋_GB2312" w:cs="宋体"/>
                <w:snapToGrid w:val="0"/>
                <w:color w:val="auto"/>
                <w:spacing w:val="-11"/>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施工工地建筑结构脚手架外侧设置密目式防尘网，在建筑物、构筑物上运送散装物料，应当采用密闭方式清运，禁止高空抛掷、扬撒；铺贴各类瓷砖、石板材等装饰块件的，应当采取措施防</w:t>
            </w:r>
            <w:r>
              <w:rPr>
                <w:rFonts w:hint="eastAsia" w:ascii="仿宋_GB2312" w:eastAsia="仿宋_GB2312" w:cs="宋体"/>
                <w:snapToGrid w:val="0"/>
                <w:color w:val="auto"/>
                <w:sz w:val="24"/>
                <w:szCs w:val="24"/>
                <w:lang w:val="en-US" w:eastAsia="zh-CN"/>
              </w:rPr>
              <w:t>治</w:t>
            </w:r>
            <w:r>
              <w:rPr>
                <w:rFonts w:hint="eastAsia" w:ascii="仿宋_GB2312" w:eastAsia="仿宋_GB2312" w:cs="宋体"/>
                <w:snapToGrid w:val="0"/>
                <w:color w:val="auto"/>
                <w:sz w:val="24"/>
                <w:szCs w:val="24"/>
              </w:rPr>
              <w:t>扬尘污染。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bdr w:val="single" w:color="000000" w:sz="4" w:space="0"/>
                <w:lang w:eastAsia="zh-CN"/>
              </w:rPr>
            </w:pPr>
            <w:r>
              <w:rPr>
                <w:rFonts w:hint="eastAsia" w:ascii="仿宋_GB2312" w:eastAsia="仿宋_GB2312" w:cs="宋体"/>
                <w:snapToGrid w:val="0"/>
                <w:color w:val="auto"/>
                <w:sz w:val="24"/>
                <w:szCs w:val="24"/>
                <w:bdr w:val="single" w:color="000000" w:sz="4" w:space="0"/>
              </w:rPr>
              <w:t>建筑土方、</w:t>
            </w:r>
            <w:r>
              <w:rPr>
                <w:rFonts w:hint="eastAsia" w:ascii="仿宋_GB2312" w:eastAsia="仿宋_GB2312" w:cs="宋体"/>
                <w:snapToGrid w:val="0"/>
                <w:color w:val="auto"/>
                <w:sz w:val="24"/>
                <w:szCs w:val="24"/>
              </w:rPr>
              <w:t>工程渣土</w:t>
            </w:r>
            <w:r>
              <w:rPr>
                <w:rFonts w:hint="eastAsia" w:ascii="仿宋_GB2312" w:eastAsia="仿宋_GB2312" w:cs="宋体"/>
                <w:snapToGrid w:val="0"/>
                <w:color w:val="auto"/>
                <w:sz w:val="24"/>
                <w:szCs w:val="24"/>
                <w:bdr w:val="single" w:color="000000" w:sz="4" w:space="0"/>
              </w:rPr>
              <w:t>、</w:t>
            </w:r>
            <w:r>
              <w:rPr>
                <w:rFonts w:hint="eastAsia" w:ascii="黑体" w:hAnsi="黑体" w:eastAsia="黑体" w:cs="宋体"/>
                <w:b/>
                <w:bCs/>
                <w:snapToGrid w:val="0"/>
                <w:color w:val="auto"/>
                <w:sz w:val="24"/>
                <w:szCs w:val="24"/>
                <w:lang w:val="en-US" w:eastAsia="zh-CN"/>
              </w:rPr>
              <w:t>等</w:t>
            </w:r>
            <w:r>
              <w:rPr>
                <w:rFonts w:hint="eastAsia" w:ascii="仿宋_GB2312" w:eastAsia="仿宋_GB2312" w:cs="宋体"/>
                <w:snapToGrid w:val="0"/>
                <w:color w:val="auto"/>
                <w:sz w:val="24"/>
                <w:szCs w:val="24"/>
              </w:rPr>
              <w:t>建筑垃圾</w:t>
            </w:r>
            <w:r>
              <w:rPr>
                <w:rFonts w:hint="eastAsia" w:ascii="黑体" w:hAnsi="黑体" w:eastAsia="黑体" w:cs="宋体"/>
                <w:b/>
                <w:bCs/>
                <w:snapToGrid w:val="0"/>
                <w:color w:val="auto"/>
                <w:sz w:val="24"/>
                <w:szCs w:val="24"/>
                <w:lang w:val="en-US" w:eastAsia="zh-CN"/>
              </w:rPr>
              <w:t>、建筑土方</w:t>
            </w:r>
            <w:r>
              <w:rPr>
                <w:rFonts w:hint="eastAsia" w:ascii="仿宋_GB2312" w:eastAsia="仿宋_GB2312" w:cs="宋体"/>
                <w:snapToGrid w:val="0"/>
                <w:color w:val="auto"/>
                <w:sz w:val="24"/>
                <w:szCs w:val="24"/>
              </w:rPr>
              <w:t>应当及时清运；在场地内堆存的，应当采用密闭式防尘网遮盖。工程渣土</w:t>
            </w:r>
            <w:r>
              <w:rPr>
                <w:rFonts w:hint="eastAsia" w:ascii="仿宋_GB2312" w:eastAsia="仿宋_GB2312" w:cs="宋体"/>
                <w:snapToGrid w:val="0"/>
                <w:color w:val="auto"/>
                <w:sz w:val="24"/>
                <w:szCs w:val="24"/>
                <w:bdr w:val="single" w:color="000000" w:sz="4" w:space="0"/>
              </w:rPr>
              <w:t>、</w:t>
            </w:r>
            <w:r>
              <w:rPr>
                <w:rFonts w:hint="eastAsia" w:ascii="黑体" w:hAnsi="黑体" w:eastAsia="黑体" w:cs="宋体"/>
                <w:b/>
                <w:bCs/>
                <w:snapToGrid w:val="0"/>
                <w:color w:val="auto"/>
                <w:sz w:val="24"/>
                <w:szCs w:val="24"/>
                <w:lang w:val="en-US" w:eastAsia="zh-CN"/>
              </w:rPr>
              <w:t>等</w:t>
            </w:r>
            <w:r>
              <w:rPr>
                <w:rFonts w:hint="eastAsia" w:ascii="仿宋_GB2312" w:eastAsia="仿宋_GB2312" w:cs="宋体"/>
                <w:snapToGrid w:val="0"/>
                <w:color w:val="auto"/>
                <w:sz w:val="24"/>
                <w:szCs w:val="24"/>
              </w:rPr>
              <w:t>建筑垃圾应当进行资源化处理</w:t>
            </w:r>
            <w:r>
              <w:rPr>
                <w:rFonts w:hint="eastAsia" w:ascii="仿宋_GB2312" w:eastAsia="仿宋_GB2312" w:cs="宋体"/>
                <w:snapToGrid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lang w:eastAsia="zh-CN"/>
              </w:rPr>
            </w:pPr>
            <w:r>
              <w:rPr>
                <w:rFonts w:hint="eastAsia" w:ascii="仿宋_GB2312" w:eastAsia="仿宋_GB2312" w:cs="宋体"/>
                <w:snapToGrid w:val="0"/>
                <w:color w:val="auto"/>
                <w:sz w:val="24"/>
                <w:szCs w:val="24"/>
              </w:rPr>
              <w:t>从</w:t>
            </w:r>
            <w:r>
              <w:rPr>
                <w:rFonts w:hint="eastAsia" w:ascii="仿宋_GB2312" w:eastAsia="仿宋_GB2312" w:cs="宋体"/>
                <w:snapToGrid w:val="0"/>
                <w:color w:val="auto"/>
                <w:spacing w:val="-6"/>
                <w:sz w:val="24"/>
                <w:szCs w:val="24"/>
              </w:rPr>
              <w:t>事房屋建筑、市政基础设施建设、河道整治以及建筑物拆除等施工单位，应当向负责监督管理扬尘污染防治的主管部门备案</w:t>
            </w:r>
            <w:r>
              <w:rPr>
                <w:rFonts w:hint="eastAsia" w:ascii="仿宋_GB2312" w:eastAsia="仿宋_GB2312" w:cs="宋体"/>
                <w:snapToGrid w:val="0"/>
                <w:color w:val="auto"/>
                <w:spacing w:val="-6"/>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法</w:t>
            </w:r>
            <w:r>
              <w:rPr>
                <w:rFonts w:hint="eastAsia" w:ascii="仿宋_GB2312" w:eastAsia="仿宋_GB2312" w:cs="宋体"/>
                <w:snapToGrid w:val="0"/>
                <w:color w:val="auto"/>
                <w:spacing w:val="-17"/>
                <w:sz w:val="24"/>
                <w:szCs w:val="24"/>
              </w:rPr>
              <w:t>律法规规定的其他扬尘污染防治措施。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w:t>
            </w:r>
            <w:r>
              <w:rPr>
                <w:rFonts w:hint="eastAsia" w:ascii="黑体" w:hAnsi="黑体" w:eastAsia="黑体" w:cs="宋体"/>
                <w:snapToGrid w:val="0"/>
                <w:color w:val="auto"/>
                <w:spacing w:val="-6"/>
                <w:sz w:val="24"/>
                <w:szCs w:val="24"/>
              </w:rPr>
              <w:t>三十二条</w:t>
            </w:r>
            <w:r>
              <w:rPr>
                <w:rFonts w:hint="eastAsia" w:ascii="仿宋_GB2312" w:eastAsia="仿宋_GB2312" w:cs="宋体"/>
                <w:snapToGrid w:val="0"/>
                <w:color w:val="auto"/>
                <w:spacing w:val="-6"/>
                <w:sz w:val="24"/>
                <w:szCs w:val="24"/>
              </w:rPr>
              <w:t xml:space="preserve">  贮存煤炭、煤矸石、煤渣、煤灰、水泥、石灰、石膏、砂土等易产生扬尘的物料应当密闭；不能密闭的，应当设置不低于堆放物高度的严密围挡，采取有效覆盖措施防治扬尘污染，并采取下列防风抑尘措施：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rPr>
            </w:pPr>
            <w:r>
              <w:rPr>
                <w:rFonts w:hint="eastAsia" w:ascii="仿宋_GB2312" w:eastAsia="仿宋_GB2312" w:cs="宋体"/>
                <w:snapToGrid w:val="0"/>
                <w:color w:val="auto"/>
                <w:sz w:val="24"/>
                <w:szCs w:val="24"/>
              </w:rPr>
              <w:t>（一）堆场的场坪、路面应当进行硬化处理，并保持路面整洁；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（二）大型堆场应当配置车辆清洗专用设施，禁止未经清洗的车辆上路；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z w:val="24"/>
                <w:szCs w:val="24"/>
                <w:bdr w:val="single" w:color="auto" w:sz="4" w:space="0"/>
              </w:rPr>
            </w:pPr>
            <w:r>
              <w:rPr>
                <w:rFonts w:hint="eastAsia" w:ascii="仿宋_GB2312" w:eastAsia="仿宋_GB2312" w:cs="宋体"/>
                <w:snapToGrid w:val="0"/>
                <w:color w:val="auto"/>
                <w:sz w:val="24"/>
                <w:szCs w:val="24"/>
              </w:rPr>
              <w:t>（三）采用密闭输送设备作业的，应当在装料、卸料处配备吸尘、喷淋等防尘设施，并保持防尘设施的正常使用；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lang w:eastAsia="zh-CN"/>
              </w:rPr>
            </w:pPr>
            <w:r>
              <w:rPr>
                <w:rFonts w:hint="eastAsia" w:ascii="仿宋_GB2312" w:eastAsia="仿宋_GB2312" w:cs="宋体"/>
                <w:snapToGrid w:val="0"/>
                <w:color w:val="auto"/>
                <w:sz w:val="24"/>
                <w:szCs w:val="24"/>
              </w:rPr>
              <w:t>（四）堆场露天装卸物料时，应当采取喷淋等抑尘措施</w:t>
            </w:r>
            <w:r>
              <w:rPr>
                <w:rFonts w:hint="eastAsia" w:ascii="仿宋_GB2312" w:eastAsia="仿宋_GB2312" w:cs="宋体"/>
                <w:snapToGrid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（五）单位存放煤炭、煤矸石、煤渣、煤灰等物料，应当采取防燃措施。</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矿山、填埋场和消纳场应当实施分区作业，并采取有效措施防治扬尘污染。</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240" w:firstLineChars="1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第二十条</w:t>
            </w:r>
            <w:r>
              <w:rPr>
                <w:rFonts w:hint="eastAsia" w:ascii="黑体" w:hAnsi="黑体" w:eastAsia="黑体" w:cs="宋体"/>
                <w:snapToGrid w:val="0"/>
                <w:color w:val="auto"/>
                <w:sz w:val="24"/>
                <w:szCs w:val="24"/>
                <w:bdr w:val="single" w:color="000000" w:sz="4" w:space="0"/>
              </w:rPr>
              <w:t>第三十条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第三十三条</w:t>
            </w:r>
            <w:r>
              <w:rPr>
                <w:rFonts w:hint="eastAsia" w:ascii="仿宋_GB2312" w:eastAsia="仿宋_GB2312" w:cs="宋体"/>
                <w:snapToGrid w:val="0"/>
                <w:color w:val="auto"/>
                <w:sz w:val="24"/>
                <w:szCs w:val="24"/>
              </w:rPr>
              <w:t xml:space="preserve">  运输煤炭、垃圾、渣土、砂石、土方、灰浆、水泥等散装、流体物料的车辆应当采取密闭或者其他措施防止物料遗撒造成扬尘污染，并按照规定的时间、路线行驶。</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第二十一条</w:t>
            </w:r>
            <w:r>
              <w:rPr>
                <w:rFonts w:hint="eastAsia" w:ascii="黑体" w:hAnsi="黑体" w:eastAsia="黑体" w:cs="宋体"/>
                <w:snapToGrid w:val="0"/>
                <w:color w:val="auto"/>
                <w:sz w:val="24"/>
                <w:szCs w:val="24"/>
                <w:bdr w:val="single" w:color="000000" w:sz="4" w:space="0"/>
              </w:rPr>
              <w:t>第三十三条</w:t>
            </w:r>
            <w:r>
              <w:rPr>
                <w:rFonts w:hint="eastAsia" w:ascii="仿宋_GB2312" w:eastAsia="仿宋_GB2312" w:cs="宋体"/>
                <w:snapToGrid w:val="0"/>
                <w:color w:val="auto"/>
                <w:sz w:val="24"/>
                <w:szCs w:val="24"/>
              </w:rPr>
              <w:t xml:space="preserve">  运输煤炭、垃圾、渣土、砂石、土方、灰浆、水泥等散装、流体物料的车辆应当采取密闭或者其他</w:t>
            </w:r>
            <w:r>
              <w:rPr>
                <w:rFonts w:hint="eastAsia" w:ascii="黑体" w:hAnsi="黑体" w:eastAsia="黑体" w:cs="宋体"/>
                <w:b/>
                <w:bCs/>
                <w:snapToGrid w:val="0"/>
                <w:color w:val="auto"/>
                <w:sz w:val="24"/>
                <w:szCs w:val="24"/>
                <w:lang w:val="en-US" w:eastAsia="zh-CN"/>
              </w:rPr>
              <w:t>有效</w:t>
            </w:r>
            <w:r>
              <w:rPr>
                <w:rFonts w:hint="eastAsia" w:ascii="仿宋_GB2312" w:eastAsia="仿宋_GB2312" w:cs="宋体"/>
                <w:snapToGrid w:val="0"/>
                <w:color w:val="auto"/>
                <w:sz w:val="24"/>
                <w:szCs w:val="24"/>
              </w:rPr>
              <w:t>措施防止物料遗撒造成扬尘污染，并按照规定的</w:t>
            </w:r>
            <w:r>
              <w:rPr>
                <w:rFonts w:hint="eastAsia" w:ascii="仿宋_GB2312" w:eastAsia="仿宋_GB2312" w:cs="宋体"/>
                <w:snapToGrid w:val="0"/>
                <w:color w:val="auto"/>
                <w:sz w:val="24"/>
                <w:szCs w:val="24"/>
                <w:u w:val="none"/>
                <w:bdr w:val="single" w:color="000000" w:sz="4" w:space="0"/>
              </w:rPr>
              <w:t>时间</w:t>
            </w:r>
            <w:r>
              <w:rPr>
                <w:rFonts w:hint="eastAsia" w:ascii="仿宋_GB2312" w:eastAsia="仿宋_GB2312" w:cs="宋体"/>
                <w:snapToGrid w:val="0"/>
                <w:color w:val="auto"/>
                <w:sz w:val="24"/>
                <w:szCs w:val="24"/>
                <w:bdr w:val="single" w:color="000000" w:sz="4" w:space="0"/>
              </w:rPr>
              <w:t>、</w:t>
            </w:r>
            <w:r>
              <w:rPr>
                <w:rFonts w:hint="eastAsia" w:ascii="仿宋_GB2312" w:eastAsia="仿宋_GB2312" w:cs="宋体"/>
                <w:snapToGrid w:val="0"/>
                <w:color w:val="auto"/>
                <w:sz w:val="24"/>
                <w:szCs w:val="24"/>
              </w:rPr>
              <w:t>路线行驶。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黑体" w:hAnsi="黑体" w:eastAsia="黑体" w:cs="宋体"/>
                <w:snapToGrid w:val="0"/>
                <w:color w:val="auto"/>
                <w:sz w:val="24"/>
                <w:szCs w:val="24"/>
              </w:rPr>
              <w:t>第三十四条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区（县）人民政府应当在通往城市建成区的主要路段建设车辆自动冲洗场所和设施，免费为进入城市建成区的货运车辆进行冲洗。</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第二十二条</w:t>
            </w:r>
            <w:r>
              <w:rPr>
                <w:rFonts w:hint="eastAsia" w:ascii="黑体" w:hAnsi="黑体" w:eastAsia="黑体" w:cs="宋体"/>
                <w:snapToGrid w:val="0"/>
                <w:color w:val="auto"/>
                <w:sz w:val="24"/>
                <w:szCs w:val="24"/>
                <w:bdr w:val="single" w:color="000000" w:sz="4" w:space="0"/>
              </w:rPr>
              <w:t>第三十四条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宋体"/>
                <w:b/>
                <w:bCs/>
                <w:snapToGrid w:val="0"/>
                <w:color w:val="auto"/>
                <w:sz w:val="24"/>
                <w:szCs w:val="24"/>
                <w:lang w:val="en-US" w:eastAsia="zh-CN"/>
              </w:rPr>
              <w:t>县（区）</w:t>
            </w:r>
            <w:r>
              <w:rPr>
                <w:rFonts w:hint="eastAsia" w:ascii="仿宋_GB2312" w:eastAsia="仿宋_GB2312" w:cs="宋体"/>
                <w:snapToGrid w:val="0"/>
                <w:color w:val="auto"/>
                <w:sz w:val="24"/>
                <w:szCs w:val="24"/>
              </w:rPr>
              <w:t>人民政府应当在通往城市建成区的主要路段建设车辆自动冲洗场所和设施，免费为进入城市建成区的货运车辆进行冲洗。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第三十五条</w:t>
            </w:r>
            <w:r>
              <w:rPr>
                <w:rFonts w:hint="eastAsia" w:ascii="楷体_GB2312" w:hAnsi="黑体" w:eastAsia="楷体_GB2312" w:cs="宋体"/>
                <w:snapToGrid w:val="0"/>
                <w:color w:val="auto"/>
                <w:sz w:val="24"/>
                <w:szCs w:val="24"/>
              </w:rPr>
              <w:t xml:space="preserve"> </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道路管护单位应当加强道路清扫保洁管理，合理安排作业时间，适时增加作业频次，提高作业质量，降低扬尘污染。路面破损的应当及时进行修补。平面交叉道口出入口、道路沿线两侧门店前的地面应当进行硬化，防止车辆扬尘或者带泥上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城市道路、广场等公共场所清扫保洁应当采用清扫车负压清洁、高压冲洗、洒水、喷雾等措施，降低地面积尘负荷。</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第二十三条</w:t>
            </w:r>
            <w:r>
              <w:rPr>
                <w:rFonts w:hint="eastAsia" w:ascii="黑体" w:hAnsi="黑体" w:eastAsia="黑体" w:cs="宋体"/>
                <w:snapToGrid w:val="0"/>
                <w:color w:val="auto"/>
                <w:sz w:val="24"/>
                <w:szCs w:val="24"/>
                <w:bdr w:val="single" w:color="000000" w:sz="4" w:space="0"/>
              </w:rPr>
              <w:t>第三十五条</w:t>
            </w:r>
            <w:r>
              <w:rPr>
                <w:rFonts w:hint="eastAsia" w:ascii="楷体_GB2312" w:hAnsi="楷体_GB2312" w:eastAsia="楷体_GB2312" w:cs="楷体_GB2312"/>
                <w:color w:val="auto"/>
                <w:sz w:val="24"/>
                <w:szCs w:val="24"/>
                <w:vertAlign w:val="baseline"/>
                <w:lang w:val="en-US" w:eastAsia="zh-CN"/>
              </w:rPr>
              <w:t>（条文内容无改动）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snapToGrid w:val="0"/>
                <w:color w:val="auto"/>
                <w:spacing w:val="-17"/>
                <w:sz w:val="24"/>
                <w:szCs w:val="24"/>
              </w:rPr>
            </w:pPr>
            <w:r>
              <w:rPr>
                <w:rFonts w:hint="eastAsia" w:ascii="黑体" w:hAnsi="黑体" w:eastAsia="黑体" w:cs="宋体"/>
                <w:snapToGrid w:val="0"/>
                <w:color w:val="auto"/>
                <w:sz w:val="24"/>
                <w:szCs w:val="24"/>
              </w:rPr>
              <w:t>第三十六条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城市建成区内的裸露地面和城乡结合部暂不开发的裸露土地，宜绿化的实施绿化，不宜绿化的实施固化、硬化、透水铺装消除裸露地面扬尘污染，并按照下列规定确定绿化、固化、硬化、透水铺装责任人</w:t>
            </w:r>
            <w:r>
              <w:rPr>
                <w:rFonts w:hint="eastAsia" w:ascii="仿宋_GB2312" w:eastAsia="仿宋_GB2312" w:cs="宋体"/>
                <w:snapToGrid w:val="0"/>
                <w:color w:val="auto"/>
                <w:spacing w:val="-17"/>
                <w:sz w:val="24"/>
                <w:szCs w:val="24"/>
              </w:rPr>
              <w:t>：</w:t>
            </w:r>
          </w:p>
          <w:p>
            <w:pPr>
              <w:keepNext w:val="0"/>
              <w:keepLines w:val="0"/>
              <w:pageBreakBefore w:val="0"/>
              <w:widowControl w:val="0"/>
              <w:kinsoku/>
              <w:wordWrap/>
              <w:overflowPunct/>
              <w:topLinePunct w:val="0"/>
              <w:autoSpaceDE/>
              <w:autoSpaceDN/>
              <w:bidi w:val="0"/>
              <w:adjustRightInd/>
              <w:snapToGrid/>
              <w:spacing w:line="460" w:lineRule="exact"/>
              <w:ind w:firstLine="412" w:firstLineChars="200"/>
              <w:jc w:val="both"/>
              <w:textAlignment w:val="auto"/>
              <w:rPr>
                <w:rFonts w:hint="eastAsia" w:ascii="仿宋_GB2312" w:eastAsia="仿宋_GB2312"/>
                <w:snapToGrid w:val="0"/>
                <w:color w:val="auto"/>
                <w:spacing w:val="-17"/>
                <w:sz w:val="24"/>
                <w:szCs w:val="24"/>
              </w:rPr>
            </w:pPr>
            <w:r>
              <w:rPr>
                <w:rFonts w:hint="eastAsia" w:ascii="仿宋_GB2312" w:eastAsia="仿宋_GB2312" w:cs="宋体"/>
                <w:snapToGrid w:val="0"/>
                <w:color w:val="auto"/>
                <w:spacing w:val="-17"/>
                <w:sz w:val="24"/>
                <w:szCs w:val="24"/>
              </w:rPr>
              <w:t>（一）国有土地由使用人或者管理人负责；</w:t>
            </w:r>
          </w:p>
          <w:p>
            <w:pPr>
              <w:keepNext w:val="0"/>
              <w:keepLines w:val="0"/>
              <w:pageBreakBefore w:val="0"/>
              <w:widowControl w:val="0"/>
              <w:kinsoku/>
              <w:wordWrap/>
              <w:overflowPunct/>
              <w:topLinePunct w:val="0"/>
              <w:autoSpaceDE/>
              <w:autoSpaceDN/>
              <w:bidi w:val="0"/>
              <w:adjustRightInd/>
              <w:snapToGrid/>
              <w:spacing w:line="460" w:lineRule="exact"/>
              <w:ind w:firstLine="412" w:firstLineChars="200"/>
              <w:jc w:val="both"/>
              <w:textAlignment w:val="auto"/>
              <w:rPr>
                <w:rFonts w:hint="eastAsia" w:ascii="仿宋_GB2312" w:eastAsia="仿宋_GB2312"/>
                <w:snapToGrid w:val="0"/>
                <w:color w:val="auto"/>
                <w:spacing w:val="-17"/>
                <w:sz w:val="24"/>
                <w:szCs w:val="24"/>
              </w:rPr>
            </w:pPr>
            <w:r>
              <w:rPr>
                <w:rFonts w:hint="eastAsia" w:ascii="仿宋_GB2312" w:eastAsia="仿宋_GB2312" w:cs="宋体"/>
                <w:snapToGrid w:val="0"/>
                <w:color w:val="auto"/>
                <w:spacing w:val="-17"/>
                <w:sz w:val="24"/>
                <w:szCs w:val="24"/>
              </w:rPr>
              <w:t>（二）没有使用人或者管理人的国有土地，由区（县）人民政府负责；</w:t>
            </w:r>
          </w:p>
          <w:p>
            <w:pPr>
              <w:keepNext w:val="0"/>
              <w:keepLines w:val="0"/>
              <w:pageBreakBefore w:val="0"/>
              <w:widowControl w:val="0"/>
              <w:kinsoku/>
              <w:wordWrap/>
              <w:overflowPunct/>
              <w:topLinePunct w:val="0"/>
              <w:autoSpaceDE/>
              <w:autoSpaceDN/>
              <w:bidi w:val="0"/>
              <w:adjustRightInd/>
              <w:snapToGrid/>
              <w:spacing w:line="460" w:lineRule="exact"/>
              <w:ind w:firstLine="412" w:firstLineChars="200"/>
              <w:jc w:val="both"/>
              <w:textAlignment w:val="auto"/>
              <w:rPr>
                <w:color w:val="auto"/>
                <w:sz w:val="24"/>
                <w:szCs w:val="24"/>
                <w:vertAlign w:val="baseline"/>
              </w:rPr>
            </w:pPr>
            <w:r>
              <w:rPr>
                <w:rFonts w:hint="eastAsia" w:ascii="仿宋_GB2312" w:eastAsia="仿宋_GB2312" w:cs="宋体"/>
                <w:snapToGrid w:val="0"/>
                <w:color w:val="auto"/>
                <w:spacing w:val="-17"/>
                <w:sz w:val="24"/>
                <w:szCs w:val="24"/>
              </w:rPr>
              <w:t>（三）集体土地由所有人或者使用人负责。</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snapToGrid w:val="0"/>
                <w:color w:val="auto"/>
                <w:sz w:val="24"/>
                <w:szCs w:val="24"/>
              </w:rPr>
            </w:pPr>
            <w:r>
              <w:rPr>
                <w:rFonts w:hint="eastAsia" w:ascii="黑体" w:hAnsi="黑体" w:eastAsia="黑体" w:cs="宋体"/>
                <w:b/>
                <w:bCs/>
                <w:snapToGrid w:val="0"/>
                <w:color w:val="auto"/>
                <w:sz w:val="24"/>
                <w:szCs w:val="24"/>
                <w:lang w:val="en-US" w:eastAsia="zh-CN"/>
              </w:rPr>
              <w:t>第二十四条</w:t>
            </w:r>
            <w:r>
              <w:rPr>
                <w:rFonts w:hint="eastAsia" w:ascii="黑体" w:hAnsi="黑体" w:eastAsia="黑体" w:cs="宋体"/>
                <w:snapToGrid w:val="0"/>
                <w:color w:val="auto"/>
                <w:sz w:val="24"/>
                <w:szCs w:val="24"/>
                <w:bdr w:val="single" w:color="000000" w:sz="4" w:space="0"/>
              </w:rPr>
              <w:t>第三十六条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城市建成区内的裸露地面和城乡结合部暂不开发的裸露土地，宜绿化的实施绿化，不宜绿化的实施固化、硬化、透水铺装消除裸露地面扬尘污染，并按照下列规定确定绿化、固化、硬化、透水铺装责任人：</w:t>
            </w:r>
          </w:p>
          <w:p>
            <w:pPr>
              <w:keepNext w:val="0"/>
              <w:keepLines w:val="0"/>
              <w:pageBreakBefore w:val="0"/>
              <w:widowControl w:val="0"/>
              <w:kinsoku/>
              <w:wordWrap/>
              <w:overflowPunct/>
              <w:topLinePunct w:val="0"/>
              <w:autoSpaceDE/>
              <w:autoSpaceDN/>
              <w:bidi w:val="0"/>
              <w:adjustRightInd/>
              <w:snapToGrid/>
              <w:spacing w:line="460" w:lineRule="exact"/>
              <w:ind w:firstLine="436" w:firstLineChars="200"/>
              <w:jc w:val="both"/>
              <w:textAlignment w:val="auto"/>
              <w:rPr>
                <w:rFonts w:hint="eastAsia" w:ascii="仿宋_GB2312" w:eastAsia="仿宋_GB2312"/>
                <w:snapToGrid w:val="0"/>
                <w:color w:val="auto"/>
                <w:spacing w:val="-11"/>
                <w:sz w:val="24"/>
                <w:szCs w:val="24"/>
              </w:rPr>
            </w:pPr>
            <w:r>
              <w:rPr>
                <w:rFonts w:hint="eastAsia" w:ascii="仿宋_GB2312" w:eastAsia="仿宋_GB2312" w:cs="宋体"/>
                <w:snapToGrid w:val="0"/>
                <w:color w:val="auto"/>
                <w:spacing w:val="-11"/>
                <w:sz w:val="24"/>
                <w:szCs w:val="24"/>
              </w:rPr>
              <w:t>（一）国有土地由使用人或者管理人负责；</w:t>
            </w:r>
          </w:p>
          <w:p>
            <w:pPr>
              <w:keepNext w:val="0"/>
              <w:keepLines w:val="0"/>
              <w:pageBreakBefore w:val="0"/>
              <w:widowControl w:val="0"/>
              <w:kinsoku/>
              <w:wordWrap/>
              <w:overflowPunct/>
              <w:topLinePunct w:val="0"/>
              <w:autoSpaceDE/>
              <w:autoSpaceDN/>
              <w:bidi w:val="0"/>
              <w:adjustRightInd/>
              <w:snapToGrid/>
              <w:spacing w:line="460" w:lineRule="exact"/>
              <w:ind w:firstLine="436" w:firstLineChars="200"/>
              <w:jc w:val="both"/>
              <w:textAlignment w:val="auto"/>
              <w:rPr>
                <w:rFonts w:hint="eastAsia" w:ascii="仿宋_GB2312" w:eastAsia="仿宋_GB2312"/>
                <w:snapToGrid w:val="0"/>
                <w:color w:val="auto"/>
                <w:spacing w:val="-11"/>
                <w:sz w:val="24"/>
                <w:szCs w:val="24"/>
              </w:rPr>
            </w:pPr>
            <w:r>
              <w:rPr>
                <w:rFonts w:hint="eastAsia" w:ascii="仿宋_GB2312" w:eastAsia="仿宋_GB2312" w:cs="宋体"/>
                <w:snapToGrid w:val="0"/>
                <w:color w:val="auto"/>
                <w:spacing w:val="-11"/>
                <w:sz w:val="24"/>
                <w:szCs w:val="24"/>
              </w:rPr>
              <w:t>（二）没有使用人或者管理人的国有土地，由</w:t>
            </w:r>
            <w:r>
              <w:rPr>
                <w:rFonts w:hint="eastAsia" w:ascii="仿宋_GB2312" w:eastAsia="仿宋_GB2312" w:cs="宋体"/>
                <w:snapToGrid w:val="0"/>
                <w:color w:val="auto"/>
                <w:spacing w:val="-11"/>
                <w:sz w:val="24"/>
                <w:szCs w:val="24"/>
                <w:bdr w:val="single" w:color="000000" w:sz="4" w:space="0"/>
              </w:rPr>
              <w:t>区（县）</w:t>
            </w:r>
            <w:r>
              <w:rPr>
                <w:rFonts w:hint="eastAsia" w:ascii="黑体" w:hAnsi="黑体" w:eastAsia="黑体" w:cs="宋体"/>
                <w:b/>
                <w:bCs/>
                <w:snapToGrid w:val="0"/>
                <w:color w:val="auto"/>
                <w:spacing w:val="-11"/>
                <w:sz w:val="24"/>
                <w:szCs w:val="24"/>
                <w:lang w:val="en-US" w:eastAsia="zh-CN"/>
              </w:rPr>
              <w:t>县（区）</w:t>
            </w:r>
            <w:r>
              <w:rPr>
                <w:rFonts w:hint="eastAsia" w:ascii="仿宋_GB2312" w:eastAsia="仿宋_GB2312" w:cs="宋体"/>
                <w:snapToGrid w:val="0"/>
                <w:color w:val="auto"/>
                <w:spacing w:val="-11"/>
                <w:sz w:val="24"/>
                <w:szCs w:val="24"/>
              </w:rPr>
              <w:t>人民政府负责；</w:t>
            </w:r>
          </w:p>
          <w:p>
            <w:pPr>
              <w:keepNext w:val="0"/>
              <w:keepLines w:val="0"/>
              <w:pageBreakBefore w:val="0"/>
              <w:widowControl w:val="0"/>
              <w:kinsoku/>
              <w:wordWrap/>
              <w:overflowPunct/>
              <w:topLinePunct w:val="0"/>
              <w:autoSpaceDE/>
              <w:autoSpaceDN/>
              <w:bidi w:val="0"/>
              <w:adjustRightInd/>
              <w:snapToGrid/>
              <w:spacing w:line="460" w:lineRule="exact"/>
              <w:ind w:firstLine="436" w:firstLineChars="200"/>
              <w:jc w:val="both"/>
              <w:textAlignment w:val="auto"/>
              <w:rPr>
                <w:color w:val="auto"/>
                <w:sz w:val="24"/>
                <w:szCs w:val="24"/>
                <w:vertAlign w:val="baseline"/>
              </w:rPr>
            </w:pPr>
            <w:r>
              <w:rPr>
                <w:rFonts w:hint="eastAsia" w:ascii="仿宋_GB2312" w:eastAsia="仿宋_GB2312" w:cs="宋体"/>
                <w:snapToGrid w:val="0"/>
                <w:color w:val="auto"/>
                <w:spacing w:val="-11"/>
                <w:sz w:val="24"/>
                <w:szCs w:val="24"/>
              </w:rPr>
              <w:t>（三）集体土地由所有人或者使用人负责。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黑体"/>
                <w:b/>
                <w:bCs/>
                <w:snapToGrid w:val="0"/>
                <w:color w:val="auto"/>
                <w:sz w:val="24"/>
                <w:szCs w:val="24"/>
              </w:rPr>
            </w:pPr>
            <w:r>
              <w:rPr>
                <w:rFonts w:hint="eastAsia" w:ascii="黑体" w:hAnsi="黑体" w:eastAsia="黑体" w:cs="黑体"/>
                <w:snapToGrid w:val="0"/>
                <w:color w:val="auto"/>
                <w:sz w:val="24"/>
                <w:szCs w:val="24"/>
              </w:rPr>
              <w:t>第三十七条</w:t>
            </w:r>
            <w:r>
              <w:rPr>
                <w:rFonts w:hint="eastAsia" w:ascii="仿宋_GB2312" w:eastAsia="仿宋_GB2312" w:cs="宋体"/>
                <w:snapToGrid w:val="0"/>
                <w:color w:val="auto"/>
                <w:sz w:val="24"/>
                <w:szCs w:val="24"/>
              </w:rPr>
              <w:t xml:space="preserve">  市、区（县）人民政府应当制定鼓励和支持政策，推广秸秆、落叶综合利用。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乡镇人民政府（街道办事处）应当对露天焚烧行为组织巡查，发现后及时制止，并按照网格化管理的要求向生态环境主管部门或者城市管理执法部门报告。</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第三十八条</w:t>
            </w:r>
            <w:r>
              <w:rPr>
                <w:rFonts w:hint="eastAsia" w:ascii="黑体" w:hAnsi="黑体" w:eastAsia="黑体" w:cs="黑体"/>
                <w:b/>
                <w:bCs/>
                <w:snapToGrid w:val="0"/>
                <w:color w:val="auto"/>
                <w:sz w:val="24"/>
                <w:szCs w:val="24"/>
              </w:rPr>
              <w:t>　</w:t>
            </w:r>
            <w:r>
              <w:rPr>
                <w:rFonts w:hint="eastAsia" w:ascii="仿宋_GB2312" w:eastAsia="仿宋_GB2312" w:cs="宋体"/>
                <w:snapToGrid w:val="0"/>
                <w:color w:val="auto"/>
                <w:sz w:val="24"/>
                <w:szCs w:val="24"/>
              </w:rPr>
              <w:t>禁止在人口集中地区和其他依法需要特殊保护的区域内焚烧沥青、油毡、橡胶、塑料、皮革、垃圾以及其他产生有毒有害烟尘和恶臭气体的物质。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禁止生产、销售和燃放不符合质量标准的烟花爆竹。任何单位和个人不得在城市人民政府禁止的时段和区域内燃放烟花爆竹。</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vertAlign w:val="baseline"/>
                <w:lang w:eastAsia="zh-CN"/>
              </w:rPr>
            </w:pPr>
            <w:r>
              <w:rPr>
                <w:rFonts w:hint="eastAsia" w:ascii="楷体_GB2312" w:hAnsi="楷体_GB2312" w:eastAsia="楷体_GB2312" w:cs="楷体_GB2312"/>
                <w:color w:val="auto"/>
                <w:sz w:val="24"/>
                <w:szCs w:val="24"/>
                <w:vertAlign w:val="baseline"/>
                <w:lang w:eastAsia="zh-CN"/>
              </w:rPr>
              <w:t>（</w:t>
            </w:r>
            <w:r>
              <w:rPr>
                <w:rFonts w:hint="eastAsia" w:ascii="楷体_GB2312" w:hAnsi="楷体_GB2312" w:eastAsia="楷体_GB2312" w:cs="楷体_GB2312"/>
                <w:color w:val="auto"/>
                <w:sz w:val="24"/>
                <w:szCs w:val="24"/>
                <w:vertAlign w:val="baseline"/>
                <w:lang w:val="en-US" w:eastAsia="zh-CN"/>
              </w:rPr>
              <w:t>删</w:t>
            </w:r>
            <w:r>
              <w:rPr>
                <w:rFonts w:hint="eastAsia" w:ascii="楷体_GB2312" w:hAnsi="楷体_GB2312" w:eastAsia="楷体_GB2312" w:cs="楷体_GB2312"/>
                <w:color w:val="auto"/>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第三十九条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向大气排放恶臭气体的企业事业单位和其他生产经营者，应当科学选址，设置合理的防护距离，并安装净化装置或者采取其他措施，防止排放恶臭气体。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在居民住宅区、机关等人口密集区域和医院、学校、幼儿园、养老院等需要特殊保护的区域及其周边，不得新建石油化工、油漆涂料、塑料橡胶、造纸印刷、饲料加工、养殖屠宰、餐厨垃圾处置、制药等易产生有毒有害或者恶臭气体的生产项目或者从事其他产生有毒有害或者恶臭气体的生产经营活动。</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lang w:val="en-US" w:eastAsia="zh-CN"/>
              </w:rPr>
              <w:t>第</w:t>
            </w:r>
            <w:r>
              <w:rPr>
                <w:rFonts w:hint="eastAsia" w:ascii="黑体" w:hAnsi="黑体" w:eastAsia="黑体" w:cs="宋体"/>
                <w:b/>
                <w:bCs/>
                <w:snapToGrid w:val="0"/>
                <w:color w:val="auto"/>
                <w:spacing w:val="-6"/>
                <w:sz w:val="24"/>
                <w:szCs w:val="24"/>
                <w:shd w:val="clear" w:color="auto" w:fill="auto"/>
                <w:lang w:val="en-US" w:eastAsia="zh-CN"/>
              </w:rPr>
              <w:t>二十五条</w:t>
            </w:r>
            <w:r>
              <w:rPr>
                <w:rFonts w:hint="eastAsia" w:ascii="黑体" w:hAnsi="黑体" w:eastAsia="黑体" w:cs="宋体"/>
                <w:snapToGrid w:val="0"/>
                <w:color w:val="auto"/>
                <w:spacing w:val="-6"/>
                <w:sz w:val="24"/>
                <w:szCs w:val="24"/>
                <w:bdr w:val="single" w:color="000000" w:sz="4" w:space="0"/>
                <w:shd w:val="clear" w:color="auto" w:fill="auto"/>
              </w:rPr>
              <w:t>第三十九条</w:t>
            </w:r>
            <w:r>
              <w:rPr>
                <w:rFonts w:hint="eastAsia" w:ascii="楷体_GB2312" w:hAnsi="黑体" w:eastAsia="楷体_GB2312" w:cs="宋体"/>
                <w:snapToGrid w:val="0"/>
                <w:color w:val="auto"/>
                <w:spacing w:val="-6"/>
                <w:sz w:val="24"/>
                <w:szCs w:val="24"/>
                <w:shd w:val="clear" w:color="auto" w:fill="auto"/>
              </w:rPr>
              <w:t xml:space="preserve"> </w:t>
            </w:r>
            <w:r>
              <w:rPr>
                <w:rFonts w:hint="eastAsia" w:ascii="仿宋_GB2312" w:eastAsia="仿宋_GB2312" w:cs="宋体"/>
                <w:snapToGrid w:val="0"/>
                <w:color w:val="auto"/>
                <w:spacing w:val="-6"/>
                <w:sz w:val="24"/>
                <w:szCs w:val="24"/>
                <w:shd w:val="clear" w:color="auto" w:fill="auto"/>
              </w:rPr>
              <w:t xml:space="preserve"> </w:t>
            </w:r>
            <w:r>
              <w:rPr>
                <w:rFonts w:hint="eastAsia" w:ascii="仿宋_GB2312" w:eastAsia="仿宋_GB2312" w:cs="宋体"/>
                <w:snapToGrid w:val="0"/>
                <w:color w:val="auto"/>
                <w:spacing w:val="-6"/>
                <w:sz w:val="24"/>
                <w:szCs w:val="24"/>
                <w:bdr w:val="single" w:color="000000" w:sz="4" w:space="0"/>
                <w:shd w:val="clear" w:color="auto" w:fill="auto"/>
              </w:rPr>
              <w:t>向大气排放恶臭气体的</w:t>
            </w:r>
            <w:r>
              <w:rPr>
                <w:rFonts w:hint="eastAsia" w:ascii="仿宋_GB2312" w:eastAsia="仿宋_GB2312" w:cs="宋体"/>
                <w:snapToGrid w:val="0"/>
                <w:color w:val="auto"/>
                <w:spacing w:val="-6"/>
                <w:sz w:val="24"/>
                <w:szCs w:val="24"/>
                <w:shd w:val="clear" w:color="auto" w:fill="auto"/>
              </w:rPr>
              <w:t>企业事业单位和其他生产经营者</w:t>
            </w:r>
            <w:r>
              <w:rPr>
                <w:rFonts w:hint="eastAsia" w:ascii="黑体" w:hAnsi="黑体" w:eastAsia="黑体" w:cs="宋体"/>
                <w:b/>
                <w:bCs/>
                <w:snapToGrid w:val="0"/>
                <w:color w:val="auto"/>
                <w:spacing w:val="-6"/>
                <w:sz w:val="24"/>
                <w:szCs w:val="24"/>
                <w:shd w:val="clear" w:color="auto" w:fill="auto"/>
                <w:lang w:val="en-US" w:eastAsia="zh-CN"/>
              </w:rPr>
              <w:t>在生产经营活动中产生恶臭气体的</w:t>
            </w:r>
            <w:r>
              <w:rPr>
                <w:rFonts w:hint="eastAsia" w:ascii="仿宋_GB2312" w:eastAsia="仿宋_GB2312" w:cs="宋体"/>
                <w:snapToGrid w:val="0"/>
                <w:color w:val="auto"/>
                <w:spacing w:val="-6"/>
                <w:sz w:val="24"/>
                <w:szCs w:val="24"/>
                <w:shd w:val="clear" w:color="auto" w:fill="auto"/>
              </w:rPr>
              <w:t>，应当科学选址，设置合理的防护距离，并安装净化装置或者采取其他</w:t>
            </w:r>
            <w:r>
              <w:rPr>
                <w:rFonts w:hint="eastAsia" w:ascii="黑体" w:hAnsi="黑体" w:eastAsia="黑体" w:cs="宋体"/>
                <w:b/>
                <w:bCs/>
                <w:snapToGrid w:val="0"/>
                <w:color w:val="auto"/>
                <w:spacing w:val="-6"/>
                <w:sz w:val="24"/>
                <w:szCs w:val="24"/>
                <w:shd w:val="clear" w:color="auto" w:fill="auto"/>
                <w:lang w:val="en-US" w:eastAsia="zh-CN"/>
              </w:rPr>
              <w:t>有效</w:t>
            </w:r>
            <w:r>
              <w:rPr>
                <w:rFonts w:hint="eastAsia" w:ascii="仿宋_GB2312" w:eastAsia="仿宋_GB2312" w:cs="宋体"/>
                <w:snapToGrid w:val="0"/>
                <w:color w:val="auto"/>
                <w:spacing w:val="-6"/>
                <w:sz w:val="24"/>
                <w:szCs w:val="24"/>
                <w:shd w:val="clear" w:color="auto" w:fill="auto"/>
              </w:rPr>
              <w:t>措施，防止排放恶臭气体。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vertAlign w:val="baseline"/>
              </w:rPr>
            </w:pPr>
            <w:r>
              <w:rPr>
                <w:rFonts w:hint="eastAsia" w:ascii="仿宋_GB2312" w:eastAsia="仿宋_GB2312" w:cs="宋体"/>
                <w:snapToGrid w:val="0"/>
                <w:color w:val="auto"/>
                <w:sz w:val="24"/>
                <w:szCs w:val="24"/>
              </w:rPr>
              <w:t>在</w:t>
            </w:r>
            <w:r>
              <w:rPr>
                <w:rFonts w:hint="eastAsia" w:ascii="仿宋_GB2312" w:eastAsia="仿宋_GB2312" w:cs="宋体"/>
                <w:snapToGrid w:val="0"/>
                <w:color w:val="auto"/>
                <w:spacing w:val="-6"/>
                <w:sz w:val="24"/>
                <w:szCs w:val="24"/>
              </w:rPr>
              <w:t>居民住宅区、机关等人口密集区域和医院、学校、幼儿园、养老院等需要特殊保护的区域及其周边，不得新建石油化工、油漆涂料、塑料橡胶、造纸印刷、饲料加工、养殖屠宰、餐厨垃圾处置、制药等易产生有毒有害或者恶臭气体的生产项目或者从事其他产生有毒有害或者恶臭气体的生产经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第四十条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市、区（县）人民政府应当合理规划餐饮业布局。城市开发和改造应当规划和建设符合规定的一定比例的餐饮业专项配套用房，鼓励设置相对集中的商业经营区域。</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黑体"/>
                <w:b/>
                <w:bCs/>
                <w:snapToGrid w:val="0"/>
                <w:color w:val="auto"/>
                <w:sz w:val="24"/>
                <w:szCs w:val="24"/>
              </w:rPr>
            </w:pPr>
            <w:r>
              <w:rPr>
                <w:rFonts w:hint="eastAsia" w:ascii="仿宋_GB2312" w:eastAsia="仿宋_GB2312" w:cs="宋体"/>
                <w:snapToGrid w:val="0"/>
                <w:color w:val="auto"/>
                <w:sz w:val="24"/>
                <w:szCs w:val="24"/>
              </w:rPr>
              <w:t>在设计用于商业经营的建筑物时，应当预留餐饮业专用烟道和废气、噪声等污染防治设施的安装位置。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禁止在居民住宅楼、未配套设立专用烟道的商住综合楼以及商住综合楼内与居住层相邻的商业楼层内新建、改建、扩建产生油烟、异味、废气的餐饮服务项目。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color w:val="auto"/>
                <w:sz w:val="24"/>
                <w:szCs w:val="24"/>
              </w:rPr>
            </w:pPr>
            <w:r>
              <w:rPr>
                <w:rFonts w:hint="eastAsia" w:ascii="仿宋_GB2312" w:hAnsi="仿宋_GB2312" w:eastAsia="仿宋_GB2312" w:cs="仿宋_GB2312"/>
                <w:snapToGrid w:val="0"/>
                <w:color w:val="auto"/>
                <w:sz w:val="24"/>
                <w:szCs w:val="24"/>
              </w:rPr>
              <w:t>任何单位和个人不得在当地人民政府禁止的区域内露天烧烤食品或者为露天烧烤食品提供场地。城市管理执法部门负责对露天烧烤食品进行监督管理。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现有的餐饮服务项目，不符</w:t>
            </w:r>
            <w:r>
              <w:rPr>
                <w:rFonts w:hint="eastAsia" w:ascii="仿宋_GB2312" w:hAnsi="仿宋_GB2312" w:eastAsia="仿宋_GB2312" w:cs="仿宋_GB2312"/>
                <w:snapToGrid w:val="0"/>
                <w:color w:val="auto"/>
                <w:sz w:val="24"/>
                <w:szCs w:val="24"/>
              </w:rPr>
              <w:t>合第三款、第四款规定</w:t>
            </w:r>
            <w:r>
              <w:rPr>
                <w:rFonts w:hint="eastAsia" w:ascii="仿宋_GB2312" w:eastAsia="仿宋_GB2312" w:cs="宋体"/>
                <w:snapToGrid w:val="0"/>
                <w:color w:val="auto"/>
                <w:sz w:val="24"/>
                <w:szCs w:val="24"/>
              </w:rPr>
              <w:t>的，应当采取措施进行改造或者在其经营许可到期后，市场监管、行政审批服务部门不再核发相关证照。</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highlight w:val="none"/>
                <w:lang w:val="en-US" w:eastAsia="zh-CN"/>
              </w:rPr>
              <w:t>第二十六条</w:t>
            </w:r>
            <w:r>
              <w:rPr>
                <w:rFonts w:hint="eastAsia" w:ascii="黑体" w:hAnsi="黑体" w:eastAsia="黑体" w:cs="宋体"/>
                <w:snapToGrid w:val="0"/>
                <w:color w:val="auto"/>
                <w:sz w:val="24"/>
                <w:szCs w:val="24"/>
                <w:bdr w:val="single" w:color="000000" w:sz="4" w:space="0"/>
              </w:rPr>
              <w:t>第四十条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宋体"/>
                <w:b/>
                <w:bCs/>
                <w:snapToGrid w:val="0"/>
                <w:color w:val="auto"/>
                <w:sz w:val="24"/>
                <w:szCs w:val="24"/>
                <w:highlight w:val="none"/>
                <w:lang w:val="en-US" w:eastAsia="zh-CN"/>
              </w:rPr>
              <w:t>县（区）</w:t>
            </w:r>
            <w:r>
              <w:rPr>
                <w:rFonts w:hint="eastAsia" w:ascii="仿宋_GB2312" w:eastAsia="仿宋_GB2312" w:cs="宋体"/>
                <w:snapToGrid w:val="0"/>
                <w:color w:val="auto"/>
                <w:sz w:val="24"/>
                <w:szCs w:val="24"/>
              </w:rPr>
              <w:t>人民政府应当合理规划餐饮业布局。城市开发和改造应当规划和建设符合规定的一定比例的餐饮业专项配套用房，鼓励设置相对集中的商业经营区域。</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黑体"/>
                <w:b/>
                <w:bCs/>
                <w:snapToGrid w:val="0"/>
                <w:color w:val="auto"/>
                <w:sz w:val="24"/>
                <w:szCs w:val="24"/>
              </w:rPr>
            </w:pPr>
            <w:r>
              <w:rPr>
                <w:rFonts w:hint="eastAsia" w:ascii="仿宋_GB2312" w:eastAsia="仿宋_GB2312" w:cs="宋体"/>
                <w:snapToGrid w:val="0"/>
                <w:color w:val="auto"/>
                <w:sz w:val="24"/>
                <w:szCs w:val="24"/>
              </w:rPr>
              <w:t>在设计用于商业经营的建筑物时，应当预留餐饮业专用烟道和废气、噪声等污染防治设施的安装位置。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禁止在居民住宅楼、未配套设立专用烟道的商住综合楼以及商住综合楼内与居住层相邻的商业楼层内新建、改建、扩建产生油烟、异味、废气的餐饮服务项目。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hAnsi="仿宋_GB2312" w:eastAsia="仿宋_GB2312" w:cs="仿宋_GB2312"/>
                <w:snapToGrid w:val="0"/>
                <w:color w:val="auto"/>
                <w:sz w:val="24"/>
                <w:szCs w:val="24"/>
              </w:rPr>
            </w:pPr>
            <w:r>
              <w:rPr>
                <w:rFonts w:hint="eastAsia" w:ascii="仿宋_GB2312" w:hAnsi="仿宋_GB2312" w:eastAsia="仿宋_GB2312" w:cs="仿宋_GB2312"/>
                <w:snapToGrid w:val="0"/>
                <w:color w:val="auto"/>
                <w:sz w:val="24"/>
                <w:szCs w:val="24"/>
              </w:rPr>
              <w:t>任何单位和个人不得在当地人民政府禁止的</w:t>
            </w:r>
            <w:r>
              <w:rPr>
                <w:rFonts w:hint="eastAsia" w:ascii="黑体" w:hAnsi="黑体" w:eastAsia="黑体" w:cs="宋体"/>
                <w:b/>
                <w:bCs/>
                <w:snapToGrid w:val="0"/>
                <w:color w:val="auto"/>
                <w:sz w:val="24"/>
                <w:szCs w:val="24"/>
                <w:highlight w:val="none"/>
                <w:lang w:val="en-US" w:eastAsia="zh-CN"/>
              </w:rPr>
              <w:t>时段和</w:t>
            </w:r>
            <w:r>
              <w:rPr>
                <w:rFonts w:hint="eastAsia" w:ascii="仿宋_GB2312" w:hAnsi="仿宋_GB2312" w:eastAsia="仿宋_GB2312" w:cs="仿宋_GB2312"/>
                <w:snapToGrid w:val="0"/>
                <w:color w:val="auto"/>
                <w:sz w:val="24"/>
                <w:szCs w:val="24"/>
              </w:rPr>
              <w:t>区域</w:t>
            </w:r>
            <w:r>
              <w:rPr>
                <w:rFonts w:hint="eastAsia" w:ascii="仿宋_GB2312" w:hAnsi="仿宋_GB2312" w:eastAsia="仿宋_GB2312" w:cs="仿宋_GB2312"/>
                <w:snapToGrid w:val="0"/>
                <w:color w:val="auto"/>
                <w:sz w:val="24"/>
                <w:szCs w:val="24"/>
                <w:bdr w:val="single" w:color="000000" w:sz="4" w:space="0"/>
              </w:rPr>
              <w:t>内</w:t>
            </w:r>
            <w:r>
              <w:rPr>
                <w:rFonts w:hint="eastAsia" w:ascii="仿宋_GB2312" w:hAnsi="仿宋_GB2312" w:eastAsia="仿宋_GB2312" w:cs="仿宋_GB2312"/>
                <w:snapToGrid w:val="0"/>
                <w:color w:val="auto"/>
                <w:sz w:val="24"/>
                <w:szCs w:val="24"/>
              </w:rPr>
              <w:t>露天烧烤食品或者为露天烧烤食品提供场地。城市管理执法</w:t>
            </w:r>
            <w:r>
              <w:rPr>
                <w:rFonts w:hint="eastAsia" w:ascii="仿宋_GB2312" w:hAnsi="仿宋_GB2312" w:eastAsia="仿宋_GB2312" w:cs="仿宋_GB2312"/>
                <w:snapToGrid w:val="0"/>
                <w:color w:val="auto"/>
                <w:sz w:val="24"/>
                <w:szCs w:val="24"/>
                <w:lang w:val="en-US" w:eastAsia="zh-CN"/>
              </w:rPr>
              <w:t>主管</w:t>
            </w:r>
            <w:r>
              <w:rPr>
                <w:rFonts w:hint="eastAsia" w:ascii="仿宋_GB2312" w:hAnsi="仿宋_GB2312" w:eastAsia="仿宋_GB2312" w:cs="仿宋_GB2312"/>
                <w:snapToGrid w:val="0"/>
                <w:color w:val="auto"/>
                <w:sz w:val="24"/>
                <w:szCs w:val="24"/>
              </w:rPr>
              <w:t>部门负责对露天烧烤食品</w:t>
            </w:r>
            <w:r>
              <w:rPr>
                <w:rFonts w:hint="eastAsia" w:ascii="仿宋_GB2312" w:hAnsi="仿宋_GB2312" w:eastAsia="仿宋_GB2312" w:cs="仿宋_GB2312"/>
                <w:snapToGrid w:val="0"/>
                <w:color w:val="auto"/>
                <w:sz w:val="24"/>
                <w:szCs w:val="24"/>
                <w:lang w:val="en-US" w:eastAsia="zh-CN"/>
              </w:rPr>
              <w:t>的行为</w:t>
            </w:r>
            <w:r>
              <w:rPr>
                <w:rFonts w:hint="eastAsia" w:ascii="仿宋_GB2312" w:hAnsi="仿宋_GB2312" w:eastAsia="仿宋_GB2312" w:cs="仿宋_GB2312"/>
                <w:snapToGrid w:val="0"/>
                <w:color w:val="auto"/>
                <w:sz w:val="24"/>
                <w:szCs w:val="24"/>
              </w:rPr>
              <w:t>进行监督管理。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现有的餐饮服务项目，不符</w:t>
            </w:r>
            <w:r>
              <w:rPr>
                <w:rFonts w:hint="eastAsia" w:ascii="仿宋_GB2312" w:hAnsi="仿宋_GB2312" w:eastAsia="仿宋_GB2312" w:cs="仿宋_GB2312"/>
                <w:snapToGrid w:val="0"/>
                <w:color w:val="auto"/>
                <w:sz w:val="24"/>
                <w:szCs w:val="24"/>
              </w:rPr>
              <w:t>合第三款、第四款规定</w:t>
            </w:r>
            <w:r>
              <w:rPr>
                <w:rFonts w:hint="eastAsia" w:ascii="仿宋_GB2312" w:eastAsia="仿宋_GB2312" w:cs="宋体"/>
                <w:snapToGrid w:val="0"/>
                <w:color w:val="auto"/>
                <w:sz w:val="24"/>
                <w:szCs w:val="24"/>
              </w:rPr>
              <w:t>的，应当采取措施进行改造或者在其经营许可到期后，</w:t>
            </w:r>
            <w:r>
              <w:rPr>
                <w:rFonts w:hint="eastAsia" w:ascii="仿宋_GB2312" w:eastAsia="仿宋_GB2312" w:cs="宋体"/>
                <w:snapToGrid w:val="0"/>
                <w:color w:val="auto"/>
                <w:sz w:val="24"/>
                <w:szCs w:val="24"/>
                <w:bdr w:val="single" w:color="000000" w:sz="4" w:space="0"/>
              </w:rPr>
              <w:t>市场监管、</w:t>
            </w:r>
            <w:r>
              <w:rPr>
                <w:rFonts w:hint="eastAsia" w:ascii="仿宋_GB2312" w:eastAsia="仿宋_GB2312" w:cs="宋体"/>
                <w:snapToGrid w:val="0"/>
                <w:color w:val="auto"/>
                <w:sz w:val="24"/>
                <w:szCs w:val="24"/>
              </w:rPr>
              <w:t>行政审批服务部门不再核发相关证照。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 xml:space="preserve">第四十一条  </w:t>
            </w:r>
            <w:r>
              <w:rPr>
                <w:rFonts w:hint="eastAsia" w:ascii="仿宋_GB2312" w:eastAsia="仿宋_GB2312" w:cs="宋体"/>
                <w:snapToGrid w:val="0"/>
                <w:color w:val="auto"/>
                <w:sz w:val="24"/>
                <w:szCs w:val="24"/>
              </w:rPr>
              <w:t>排放油烟的餐饮服务业经营者应当采取下列措施，防止对大气环境造成污染：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（一）使用清洁能源；</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（二）油烟不得排入下水管道；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（三）设置油烟净化装置，并保证其正常运行，实现达标排放；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（四）设置餐饮业专用烟道，专用烟道的排放口应当高于相邻建筑物高度或者接入其公用烟道；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bdr w:val="single" w:color="auto" w:sz="4" w:space="0"/>
              </w:rPr>
            </w:pPr>
            <w:r>
              <w:rPr>
                <w:rFonts w:hint="eastAsia" w:ascii="仿宋_GB2312" w:eastAsia="仿宋_GB2312" w:cs="宋体"/>
                <w:snapToGrid w:val="0"/>
                <w:color w:val="auto"/>
                <w:sz w:val="24"/>
                <w:szCs w:val="24"/>
              </w:rPr>
              <w:t>（五）定期对油烟和异味处理装置等污染物处理设施进行清洗维护并保存记录；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生态环境主管部门或者城市管理执法部门负责依法组织对餐饮服务业排放油烟进行监测，并依法开展日常监督检查。</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黑体"/>
                <w:b/>
                <w:bCs/>
                <w:snapToGrid w:val="0"/>
                <w:color w:val="auto"/>
                <w:sz w:val="24"/>
                <w:szCs w:val="24"/>
                <w:lang w:val="en-US" w:eastAsia="zh-CN"/>
              </w:rPr>
              <w:t>第二十七条</w:t>
            </w:r>
            <w:r>
              <w:rPr>
                <w:rFonts w:hint="eastAsia" w:ascii="黑体" w:hAnsi="黑体" w:eastAsia="黑体" w:cs="宋体"/>
                <w:snapToGrid w:val="0"/>
                <w:color w:val="auto"/>
                <w:sz w:val="24"/>
                <w:szCs w:val="24"/>
                <w:bdr w:val="single" w:color="000000" w:sz="4" w:space="0"/>
              </w:rPr>
              <w:t>第四十一条</w:t>
            </w:r>
            <w:r>
              <w:rPr>
                <w:rFonts w:hint="eastAsia" w:ascii="黑体" w:hAnsi="黑体" w:eastAsia="黑体" w:cs="宋体"/>
                <w:snapToGrid w:val="0"/>
                <w:color w:val="auto"/>
                <w:sz w:val="24"/>
                <w:szCs w:val="24"/>
              </w:rPr>
              <w:t xml:space="preserve">  </w:t>
            </w:r>
            <w:r>
              <w:rPr>
                <w:rFonts w:hint="eastAsia" w:ascii="仿宋_GB2312" w:eastAsia="仿宋_GB2312" w:cs="宋体"/>
                <w:snapToGrid w:val="0"/>
                <w:color w:val="auto"/>
                <w:sz w:val="24"/>
                <w:szCs w:val="24"/>
              </w:rPr>
              <w:t>排放油烟的餐饮服务业经营者应当采取下列措施，防止对大气环境造成污染：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（一）使用清洁能源；</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（二）油烟不得排入下水管道；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（三）</w:t>
            </w:r>
            <w:r>
              <w:rPr>
                <w:rFonts w:hint="eastAsia" w:ascii="仿宋_GB2312" w:eastAsia="仿宋_GB2312" w:cs="宋体"/>
                <w:snapToGrid w:val="0"/>
                <w:color w:val="auto"/>
                <w:sz w:val="24"/>
                <w:szCs w:val="24"/>
                <w:bdr w:val="single" w:color="000000" w:sz="4" w:space="0"/>
              </w:rPr>
              <w:t>设置</w:t>
            </w:r>
            <w:r>
              <w:rPr>
                <w:rFonts w:hint="eastAsia" w:ascii="黑体" w:hAnsi="黑体" w:eastAsia="黑体" w:cs="黑体"/>
                <w:b/>
                <w:bCs/>
                <w:snapToGrid w:val="0"/>
                <w:color w:val="auto"/>
                <w:sz w:val="24"/>
                <w:szCs w:val="24"/>
                <w:lang w:val="en-US" w:eastAsia="zh-CN"/>
              </w:rPr>
              <w:t>按照规定安装</w:t>
            </w:r>
            <w:r>
              <w:rPr>
                <w:rFonts w:hint="eastAsia" w:ascii="仿宋_GB2312" w:eastAsia="仿宋_GB2312" w:cs="宋体"/>
                <w:snapToGrid w:val="0"/>
                <w:color w:val="auto"/>
                <w:sz w:val="24"/>
                <w:szCs w:val="24"/>
              </w:rPr>
              <w:t>油烟净化</w:t>
            </w:r>
            <w:r>
              <w:rPr>
                <w:rFonts w:hint="eastAsia" w:ascii="仿宋_GB2312" w:eastAsia="仿宋_GB2312" w:cs="宋体"/>
                <w:snapToGrid w:val="0"/>
                <w:color w:val="auto"/>
                <w:sz w:val="24"/>
                <w:szCs w:val="24"/>
                <w:bdr w:val="single" w:color="000000" w:sz="4" w:space="0"/>
              </w:rPr>
              <w:t>装置</w:t>
            </w:r>
            <w:r>
              <w:rPr>
                <w:rFonts w:hint="eastAsia" w:ascii="黑体" w:hAnsi="黑体" w:eastAsia="黑体" w:cs="黑体"/>
                <w:b/>
                <w:bCs/>
                <w:snapToGrid w:val="0"/>
                <w:color w:val="auto"/>
                <w:sz w:val="24"/>
                <w:szCs w:val="24"/>
                <w:lang w:val="en-US" w:eastAsia="zh-CN"/>
              </w:rPr>
              <w:t>等污染防治设施</w:t>
            </w:r>
            <w:r>
              <w:rPr>
                <w:rFonts w:hint="eastAsia" w:ascii="仿宋_GB2312" w:eastAsia="仿宋_GB2312" w:cs="宋体"/>
                <w:snapToGrid w:val="0"/>
                <w:color w:val="auto"/>
                <w:sz w:val="24"/>
                <w:szCs w:val="24"/>
                <w:bdr w:val="single" w:color="000000" w:sz="4" w:space="0"/>
              </w:rPr>
              <w:t>，</w:t>
            </w:r>
            <w:r>
              <w:rPr>
                <w:rFonts w:hint="eastAsia" w:ascii="仿宋_GB2312" w:eastAsia="仿宋_GB2312" w:cs="宋体"/>
                <w:snapToGrid w:val="0"/>
                <w:color w:val="auto"/>
                <w:sz w:val="24"/>
                <w:szCs w:val="24"/>
              </w:rPr>
              <w:t>并保</w:t>
            </w:r>
            <w:r>
              <w:rPr>
                <w:rFonts w:hint="eastAsia" w:ascii="仿宋_GB2312" w:eastAsia="仿宋_GB2312" w:cs="宋体"/>
                <w:snapToGrid w:val="0"/>
                <w:color w:val="auto"/>
                <w:sz w:val="24"/>
                <w:szCs w:val="24"/>
                <w:bdr w:val="single" w:color="000000" w:sz="4" w:space="0"/>
              </w:rPr>
              <w:t>证其</w:t>
            </w:r>
            <w:r>
              <w:rPr>
                <w:rFonts w:hint="eastAsia" w:ascii="黑体" w:hAnsi="黑体" w:eastAsia="黑体" w:cs="黑体"/>
                <w:b/>
                <w:bCs/>
                <w:snapToGrid w:val="0"/>
                <w:color w:val="auto"/>
                <w:sz w:val="24"/>
                <w:szCs w:val="24"/>
                <w:lang w:val="en-US" w:eastAsia="zh-CN"/>
              </w:rPr>
              <w:t>持</w:t>
            </w:r>
            <w:r>
              <w:rPr>
                <w:rFonts w:hint="eastAsia" w:ascii="仿宋_GB2312" w:eastAsia="仿宋_GB2312" w:cs="宋体"/>
                <w:snapToGrid w:val="0"/>
                <w:color w:val="auto"/>
                <w:sz w:val="24"/>
                <w:szCs w:val="24"/>
              </w:rPr>
              <w:t>正常</w:t>
            </w:r>
            <w:r>
              <w:rPr>
                <w:rFonts w:hint="eastAsia" w:ascii="仿宋_GB2312" w:eastAsia="仿宋_GB2312" w:cs="宋体"/>
                <w:snapToGrid w:val="0"/>
                <w:color w:val="auto"/>
                <w:sz w:val="24"/>
                <w:szCs w:val="24"/>
                <w:bdr w:val="single" w:color="000000" w:sz="4" w:space="0"/>
              </w:rPr>
              <w:t>运行</w:t>
            </w:r>
            <w:r>
              <w:rPr>
                <w:rFonts w:hint="eastAsia" w:ascii="黑体" w:hAnsi="黑体" w:eastAsia="黑体" w:cs="黑体"/>
                <w:b/>
                <w:bCs/>
                <w:snapToGrid w:val="0"/>
                <w:color w:val="auto"/>
                <w:sz w:val="24"/>
                <w:szCs w:val="24"/>
                <w:lang w:val="en-US" w:eastAsia="zh-CN"/>
              </w:rPr>
              <w:t>使用</w:t>
            </w:r>
            <w:r>
              <w:rPr>
                <w:rFonts w:hint="eastAsia" w:ascii="仿宋_GB2312" w:eastAsia="仿宋_GB2312" w:cs="宋体"/>
                <w:snapToGrid w:val="0"/>
                <w:color w:val="auto"/>
                <w:sz w:val="24"/>
                <w:szCs w:val="24"/>
              </w:rPr>
              <w:t>，实现达标排放；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（四）设置餐饮业专用烟道，专用烟道的排放口应当高于相邻建筑物高度或者接入其公用烟道；</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bdr w:val="single" w:color="auto" w:sz="4" w:space="0"/>
                <w:lang w:eastAsia="zh-CN"/>
              </w:rPr>
            </w:pPr>
            <w:r>
              <w:rPr>
                <w:rFonts w:hint="eastAsia" w:ascii="仿宋_GB2312" w:eastAsia="仿宋_GB2312" w:cs="宋体"/>
                <w:snapToGrid w:val="0"/>
                <w:color w:val="auto"/>
                <w:sz w:val="24"/>
                <w:szCs w:val="24"/>
              </w:rPr>
              <w:t>（五）定期对油烟和异味处理装置等污染物处理设施进行清洗维护并保存记录</w:t>
            </w:r>
            <w:r>
              <w:rPr>
                <w:rFonts w:hint="eastAsia" w:ascii="仿宋_GB2312" w:eastAsia="仿宋_GB2312" w:cs="宋体"/>
                <w:snapToGrid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生态环境主管部门或者城市管理执法</w:t>
            </w:r>
            <w:r>
              <w:rPr>
                <w:rFonts w:hint="eastAsia" w:ascii="仿宋_GB2312" w:eastAsia="仿宋_GB2312" w:cs="宋体"/>
                <w:snapToGrid w:val="0"/>
                <w:color w:val="auto"/>
                <w:sz w:val="24"/>
                <w:szCs w:val="24"/>
                <w:lang w:val="en-US" w:eastAsia="zh-CN"/>
              </w:rPr>
              <w:t>主管</w:t>
            </w:r>
            <w:r>
              <w:rPr>
                <w:rFonts w:hint="eastAsia" w:ascii="仿宋_GB2312" w:eastAsia="仿宋_GB2312" w:cs="宋体"/>
                <w:snapToGrid w:val="0"/>
                <w:color w:val="auto"/>
                <w:sz w:val="24"/>
                <w:szCs w:val="24"/>
              </w:rPr>
              <w:t>部门负责依法组织对餐饮服务业排放油烟进行监测，并依法开展日常监督检查。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eastAsia="仿宋_GB2312" w:cs="宋体"/>
                <w:snapToGrid w:val="0"/>
                <w:color w:val="auto"/>
                <w:sz w:val="24"/>
                <w:szCs w:val="24"/>
                <w:highlight w:val="none"/>
              </w:rPr>
            </w:pPr>
            <w:r>
              <w:rPr>
                <w:rFonts w:hint="eastAsia" w:ascii="黑体" w:hAnsi="黑体" w:eastAsia="黑体" w:cs="宋体"/>
                <w:snapToGrid w:val="0"/>
                <w:color w:val="auto"/>
                <w:sz w:val="24"/>
                <w:szCs w:val="24"/>
                <w:highlight w:val="none"/>
              </w:rPr>
              <w:t>第四章  法律责任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highlight w:val="none"/>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第四十二条</w:t>
            </w:r>
            <w:r>
              <w:rPr>
                <w:rFonts w:hint="eastAsia" w:ascii="楷体_GB2312" w:hAnsi="黑体" w:eastAsia="楷体_GB2312" w:cs="宋体"/>
                <w:snapToGrid w:val="0"/>
                <w:color w:val="auto"/>
                <w:sz w:val="24"/>
                <w:szCs w:val="24"/>
              </w:rPr>
              <w:t xml:space="preserve"> </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违反本条例第十七条规定，拒不执行停止工地土石方作业或者建筑物拆除施工等重污染天气应急措施的，由生态环境主管部门处一万元以上十万元以下的罚款。在重污染天气黄色以上预警期间，燃放烟花爆竹的，依照《铜川市烟花爆竹燃放管理条例》的规定处罚。</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highlight w:val="none"/>
                <w:vertAlign w:val="baseline"/>
              </w:rPr>
            </w:pPr>
            <w:r>
              <w:rPr>
                <w:rFonts w:hint="eastAsia" w:ascii="黑体" w:hAnsi="黑体" w:eastAsia="黑体" w:cs="黑体"/>
                <w:b/>
                <w:bCs/>
                <w:snapToGrid w:val="0"/>
                <w:color w:val="auto"/>
                <w:sz w:val="24"/>
                <w:szCs w:val="24"/>
                <w:lang w:val="en-US" w:eastAsia="zh-CN"/>
              </w:rPr>
              <w:t xml:space="preserve">第二十八条  </w:t>
            </w:r>
            <w:r>
              <w:rPr>
                <w:rFonts w:hint="eastAsia" w:ascii="仿宋_GB2312" w:eastAsia="仿宋_GB2312" w:cs="宋体"/>
                <w:snapToGrid w:val="0"/>
                <w:color w:val="auto"/>
                <w:sz w:val="24"/>
                <w:szCs w:val="24"/>
              </w:rPr>
              <w:t>违反本条例第</w:t>
            </w:r>
            <w:r>
              <w:rPr>
                <w:rFonts w:hint="eastAsia" w:ascii="仿宋_GB2312" w:hAnsi="Times New Roman" w:eastAsia="仿宋_GB2312" w:cs="宋体"/>
                <w:snapToGrid w:val="0"/>
                <w:color w:val="auto"/>
                <w:sz w:val="24"/>
                <w:szCs w:val="24"/>
                <w:bdr w:val="single" w:color="000000" w:sz="4" w:space="0"/>
              </w:rPr>
              <w:t>十七</w:t>
            </w:r>
            <w:r>
              <w:rPr>
                <w:rFonts w:hint="eastAsia" w:ascii="黑体" w:hAnsi="黑体" w:eastAsia="黑体" w:cs="黑体"/>
                <w:b/>
                <w:bCs/>
                <w:snapToGrid w:val="0"/>
                <w:color w:val="auto"/>
                <w:sz w:val="24"/>
                <w:szCs w:val="24"/>
                <w:lang w:val="en-US" w:eastAsia="zh-CN"/>
              </w:rPr>
              <w:t>八</w:t>
            </w:r>
            <w:r>
              <w:rPr>
                <w:rFonts w:hint="eastAsia" w:ascii="仿宋_GB2312" w:eastAsia="仿宋_GB2312" w:cs="宋体"/>
                <w:snapToGrid w:val="0"/>
                <w:color w:val="auto"/>
                <w:sz w:val="24"/>
                <w:szCs w:val="24"/>
              </w:rPr>
              <w:t>条规定，拒不执行停止工地土石方作业或者建筑物拆除施工等重污染天气应急措施的，由生态环境主管部门处一万元以上十万元以下的罚款。在重污染天气黄色以上预警期间，燃放烟花爆竹的，依照《铜川市烟花爆竹燃放管理条例》的规定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第四十三条</w:t>
            </w:r>
            <w:r>
              <w:rPr>
                <w:rFonts w:hint="eastAsia" w:ascii="楷体_GB2312" w:hAnsi="黑体" w:eastAsia="楷体_GB2312" w:cs="宋体"/>
                <w:snapToGrid w:val="0"/>
                <w:color w:val="auto"/>
                <w:sz w:val="24"/>
                <w:szCs w:val="24"/>
              </w:rPr>
              <w:t xml:space="preserve"> </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违反本条例第二十一条第二款规定，在禁燃区内销售高污染燃料的，由市场监管部门责令改正，没收原材料、产品和违法所得，并处货值金额一倍以上三倍以下的罚款。</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eastAsia="宋体"/>
                <w:color w:val="auto"/>
                <w:sz w:val="24"/>
                <w:szCs w:val="24"/>
                <w:highlight w:val="none"/>
                <w:vertAlign w:val="baseline"/>
                <w:lang w:val="en-US" w:eastAsia="zh-CN"/>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第四十四条</w:t>
            </w:r>
            <w:r>
              <w:rPr>
                <w:rFonts w:hint="eastAsia" w:ascii="黑体" w:hAnsi="黑体" w:eastAsia="黑体" w:cs="黑体"/>
                <w:b/>
                <w:bCs/>
                <w:snapToGrid w:val="0"/>
                <w:color w:val="auto"/>
                <w:kern w:val="0"/>
                <w:sz w:val="24"/>
                <w:szCs w:val="24"/>
              </w:rPr>
              <w:t xml:space="preserve">  </w:t>
            </w:r>
            <w:r>
              <w:rPr>
                <w:rFonts w:hint="eastAsia" w:ascii="仿宋_GB2312" w:eastAsia="仿宋_GB2312" w:cs="宋体"/>
                <w:snapToGrid w:val="0"/>
                <w:color w:val="auto"/>
                <w:sz w:val="24"/>
                <w:szCs w:val="24"/>
              </w:rPr>
              <w:t>违反本条例第二十一条第二款规定，在禁燃区内新建、扩建燃用高污染燃料的设施，或者未按照规定停止燃用高污染燃料，由生态环境主管部门没收燃用高污染燃料的设施，并处二万元以上二十万元以下的罚款。</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highlight w:val="none"/>
                <w:vertAlign w:val="baseline"/>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第四十五条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违反本条例第二十四条规定，水泥、陶瓷、砖瓦等大气污染重点工业企业大气污染物排放浓度超过关中地区重点行业大气污染物排放标准的，由生态环境主管部门责令改正或者限制生产、停产整治，并处十万元以上一百万元以下的罚款；情节严重的，报经有批准权的人民政府批准，责令停业、关闭。</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宋体"/>
                <w:color w:val="auto"/>
                <w:sz w:val="24"/>
                <w:szCs w:val="24"/>
                <w:highlight w:val="none"/>
                <w:vertAlign w:val="baseline"/>
                <w:lang w:eastAsia="zh-CN"/>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snapToGrid w:val="0"/>
                <w:color w:val="auto"/>
                <w:sz w:val="24"/>
                <w:szCs w:val="24"/>
              </w:rPr>
            </w:pPr>
            <w:r>
              <w:rPr>
                <w:rFonts w:hint="eastAsia" w:ascii="黑体" w:hAnsi="黑体" w:eastAsia="黑体" w:cs="宋体"/>
                <w:snapToGrid w:val="0"/>
                <w:color w:val="auto"/>
                <w:sz w:val="24"/>
                <w:szCs w:val="24"/>
              </w:rPr>
              <w:t>第四十六条</w:t>
            </w:r>
            <w:r>
              <w:rPr>
                <w:rFonts w:hint="eastAsia" w:ascii="仿宋_GB2312" w:eastAsia="仿宋_GB2312" w:cs="宋体"/>
                <w:snapToGrid w:val="0"/>
                <w:color w:val="auto"/>
                <w:sz w:val="24"/>
                <w:szCs w:val="24"/>
              </w:rPr>
              <w:t xml:space="preserve">  违反本条例第二十五条第一款规定，产生含挥发性有机物废气的生产和服务活动，未在密闭空间或者设备中进行，未按照规定安装、使用污染防治设施，或者未采取减少废气排放措施的，由生态环境主管部门责令改正，处二万元以上二十万元以下的罚款；拒不改正的，责令停产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highlight w:val="none"/>
                <w:vertAlign w:val="baseline"/>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snapToGrid w:val="0"/>
                <w:color w:val="auto"/>
                <w:sz w:val="24"/>
                <w:szCs w:val="24"/>
              </w:rPr>
            </w:pPr>
            <w:r>
              <w:rPr>
                <w:rFonts w:hint="eastAsia" w:ascii="黑体" w:hAnsi="黑体" w:eastAsia="黑体" w:cs="宋体"/>
                <w:snapToGrid w:val="0"/>
                <w:color w:val="auto"/>
                <w:sz w:val="24"/>
                <w:szCs w:val="24"/>
              </w:rPr>
              <w:t>第四十七条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违反本条例第二十五条第二款规定，从事服装干洗和机动车维修等服务活动，未设置异味和废气处理装置等污染防治设施并保持正常使用，影响周边环境的，由生态环境主管部门责令改正，处二千元以上二万元以下的罚款；拒不改正的，责令停业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highlight w:val="none"/>
                <w:vertAlign w:val="baseline"/>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snapToGrid w:val="0"/>
                <w:color w:val="auto"/>
                <w:sz w:val="24"/>
                <w:szCs w:val="24"/>
              </w:rPr>
            </w:pPr>
            <w:r>
              <w:rPr>
                <w:rFonts w:hint="eastAsia" w:ascii="黑体" w:hAnsi="黑体" w:eastAsia="黑体" w:cs="宋体"/>
                <w:snapToGrid w:val="0"/>
                <w:color w:val="auto"/>
                <w:sz w:val="24"/>
                <w:szCs w:val="24"/>
              </w:rPr>
              <w:t xml:space="preserve">第四十八条 </w:t>
            </w:r>
            <w:r>
              <w:rPr>
                <w:rFonts w:hint="eastAsia" w:ascii="黑体" w:hAnsi="黑体" w:eastAsia="黑体" w:cs="宋体"/>
                <w:b/>
                <w:bCs/>
                <w:snapToGrid w:val="0"/>
                <w:color w:val="auto"/>
                <w:sz w:val="24"/>
                <w:szCs w:val="24"/>
              </w:rPr>
              <w:t xml:space="preserve"> </w:t>
            </w:r>
            <w:r>
              <w:rPr>
                <w:rFonts w:hint="eastAsia" w:ascii="仿宋_GB2312" w:eastAsia="仿宋_GB2312" w:cs="宋体"/>
                <w:snapToGrid w:val="0"/>
                <w:color w:val="auto"/>
                <w:sz w:val="24"/>
                <w:szCs w:val="24"/>
              </w:rPr>
              <w:t>违反本条例第二十九条第二款规定，以临时更换机动车污染控制装置等弄虚作假的方式通过机动车排放检验或者破坏机动车车载排放诊断系统的，由生态环境主管部门责令改正，对机动车所有人处五千元的罚款；对机动车维修单位处每辆机动车五千元的罚款。</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highlight w:val="none"/>
                <w:vertAlign w:val="baseline"/>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第四十九条</w:t>
            </w:r>
            <w:r>
              <w:rPr>
                <w:rFonts w:hint="eastAsia" w:ascii="楷体" w:hAnsi="楷体" w:eastAsia="楷体" w:cs="楷体"/>
                <w:snapToGrid w:val="0"/>
                <w:color w:val="auto"/>
                <w:sz w:val="24"/>
                <w:szCs w:val="24"/>
              </w:rPr>
              <w:t xml:space="preserve"> </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 xml:space="preserve">违反本条例第三十条第五项规定，建设单位未对暂时不能开工的建设用地的裸露地面进行覆盖，或者未对超过三个月不能开工的建设用地的裸露地面进行绿化、铺装或者遮盖的，按照以下规定予以处罚：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（一）在城市建成区以及其他由市、区（县）人民政府确定实行城镇化管理的区域，由城市管理执法部门按照职责责令改正，处一万元以上十万元以下的罚款；拒不改正的，责令停工整治；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snapToGrid w:val="0"/>
                <w:color w:val="auto"/>
                <w:sz w:val="24"/>
                <w:szCs w:val="24"/>
              </w:rPr>
            </w:pPr>
            <w:r>
              <w:rPr>
                <w:rFonts w:hint="eastAsia" w:ascii="仿宋_GB2312" w:eastAsia="仿宋_GB2312" w:cs="宋体"/>
                <w:snapToGrid w:val="0"/>
                <w:color w:val="auto"/>
                <w:sz w:val="24"/>
                <w:szCs w:val="24"/>
              </w:rPr>
              <w:t>（二）其他区域由住建部门按照职责责令改正，处一万元以上十万元以下的罚款；拒不改正的，责令停工整治。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highlight w:val="none"/>
                <w:bdr w:val="single" w:color="000000" w:sz="4" w:space="0"/>
              </w:rPr>
            </w:pPr>
            <w:r>
              <w:rPr>
                <w:rFonts w:hint="eastAsia" w:ascii="黑体" w:hAnsi="黑体" w:eastAsia="黑体" w:cs="宋体"/>
                <w:b/>
                <w:bCs/>
                <w:snapToGrid w:val="0"/>
                <w:color w:val="auto"/>
                <w:sz w:val="24"/>
                <w:szCs w:val="24"/>
                <w:highlight w:val="none"/>
                <w:lang w:val="en-US" w:eastAsia="zh-CN"/>
              </w:rPr>
              <w:t>第二十九条</w:t>
            </w:r>
            <w:r>
              <w:rPr>
                <w:rFonts w:hint="eastAsia" w:ascii="黑体" w:hAnsi="黑体" w:eastAsia="黑体" w:cs="宋体"/>
                <w:snapToGrid w:val="0"/>
                <w:color w:val="auto"/>
                <w:sz w:val="24"/>
                <w:szCs w:val="24"/>
                <w:highlight w:val="none"/>
                <w:bdr w:val="single" w:color="000000" w:sz="4" w:space="0"/>
              </w:rPr>
              <w:t>第四十九条</w:t>
            </w:r>
            <w:r>
              <w:rPr>
                <w:rFonts w:hint="eastAsia" w:ascii="楷体" w:hAnsi="楷体" w:eastAsia="楷体" w:cs="楷体"/>
                <w:snapToGrid w:val="0"/>
                <w:color w:val="auto"/>
                <w:sz w:val="24"/>
                <w:szCs w:val="24"/>
                <w:highlight w:val="none"/>
              </w:rPr>
              <w:t xml:space="preserve"> </w:t>
            </w:r>
            <w:r>
              <w:rPr>
                <w:rFonts w:hint="eastAsia" w:ascii="黑体" w:hAnsi="黑体" w:eastAsia="黑体" w:cs="黑体"/>
                <w:b/>
                <w:bCs/>
                <w:snapToGrid w:val="0"/>
                <w:color w:val="auto"/>
                <w:sz w:val="24"/>
                <w:szCs w:val="24"/>
                <w:highlight w:val="none"/>
              </w:rPr>
              <w:t xml:space="preserve"> </w:t>
            </w:r>
            <w:r>
              <w:rPr>
                <w:rFonts w:hint="eastAsia" w:ascii="仿宋_GB2312" w:eastAsia="仿宋_GB2312" w:cs="宋体"/>
                <w:snapToGrid w:val="0"/>
                <w:color w:val="auto"/>
                <w:sz w:val="24"/>
                <w:szCs w:val="24"/>
                <w:highlight w:val="none"/>
              </w:rPr>
              <w:t>违反本条例</w:t>
            </w:r>
            <w:r>
              <w:rPr>
                <w:rFonts w:hint="eastAsia" w:ascii="仿宋_GB2312" w:eastAsia="仿宋_GB2312" w:cs="宋体"/>
                <w:snapToGrid w:val="0"/>
                <w:color w:val="auto"/>
                <w:sz w:val="24"/>
                <w:szCs w:val="24"/>
                <w:highlight w:val="none"/>
                <w:bdr w:val="single" w:color="000000" w:sz="4" w:space="0"/>
              </w:rPr>
              <w:t>第三十条第五项</w:t>
            </w:r>
            <w:r>
              <w:rPr>
                <w:rFonts w:hint="eastAsia" w:ascii="黑体" w:hAnsi="黑体" w:eastAsia="黑体" w:cs="宋体"/>
                <w:b/>
                <w:bCs/>
                <w:snapToGrid w:val="0"/>
                <w:color w:val="auto"/>
                <w:sz w:val="24"/>
                <w:szCs w:val="24"/>
                <w:highlight w:val="none"/>
                <w:lang w:val="en-US" w:eastAsia="zh-CN"/>
              </w:rPr>
              <w:t>第十八条第五项</w:t>
            </w:r>
            <w:r>
              <w:rPr>
                <w:rFonts w:hint="eastAsia" w:ascii="仿宋_GB2312" w:eastAsia="仿宋_GB2312" w:cs="宋体"/>
                <w:snapToGrid w:val="0"/>
                <w:color w:val="auto"/>
                <w:sz w:val="24"/>
                <w:szCs w:val="24"/>
                <w:highlight w:val="none"/>
              </w:rPr>
              <w:t>规定</w:t>
            </w:r>
            <w:r>
              <w:rPr>
                <w:rFonts w:hint="eastAsia" w:ascii="仿宋_GB2312" w:eastAsia="仿宋_GB2312" w:cs="宋体"/>
                <w:snapToGrid w:val="0"/>
                <w:color w:val="auto"/>
                <w:sz w:val="24"/>
                <w:szCs w:val="24"/>
                <w:highlight w:val="none"/>
                <w:lang w:eastAsia="zh-CN"/>
              </w:rPr>
              <w:t>，</w:t>
            </w:r>
            <w:r>
              <w:rPr>
                <w:rFonts w:hint="eastAsia" w:ascii="仿宋_GB2312" w:eastAsia="仿宋_GB2312" w:cs="宋体"/>
                <w:snapToGrid w:val="0"/>
                <w:color w:val="auto"/>
                <w:sz w:val="24"/>
                <w:szCs w:val="24"/>
                <w:highlight w:val="none"/>
              </w:rPr>
              <w:t xml:space="preserve">建设单位未对暂时不能开工的建设用地的裸露地面进行覆盖，或者未对超过三个月不能开工的建设用地的裸露地面进行绿化、铺装或者遮盖的，按照以下规定予以处罚：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rPr>
            </w:pPr>
            <w:r>
              <w:rPr>
                <w:rFonts w:hint="eastAsia" w:ascii="仿宋_GB2312" w:eastAsia="仿宋_GB2312" w:cs="宋体"/>
                <w:snapToGrid w:val="0"/>
                <w:color w:val="auto"/>
                <w:sz w:val="24"/>
                <w:szCs w:val="24"/>
                <w:highlight w:val="none"/>
              </w:rPr>
              <w:t>（一）在城市建成区以及其他由市、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黑体"/>
                <w:b/>
                <w:bCs/>
                <w:snapToGrid w:val="0"/>
                <w:color w:val="auto"/>
                <w:sz w:val="24"/>
                <w:szCs w:val="24"/>
                <w:highlight w:val="none"/>
                <w:u w:val="none"/>
                <w:lang w:val="en-US" w:eastAsia="zh-CN"/>
              </w:rPr>
              <w:t>县（区）</w:t>
            </w:r>
            <w:r>
              <w:rPr>
                <w:rFonts w:hint="eastAsia" w:ascii="仿宋_GB2312" w:eastAsia="仿宋_GB2312" w:cs="宋体"/>
                <w:snapToGrid w:val="0"/>
                <w:color w:val="auto"/>
                <w:sz w:val="24"/>
                <w:szCs w:val="24"/>
                <w:highlight w:val="none"/>
              </w:rPr>
              <w:t>人民政府确定实行城镇化管理的区域，由城市管理执</w:t>
            </w:r>
            <w:r>
              <w:rPr>
                <w:rFonts w:hint="eastAsia" w:ascii="仿宋_GB2312" w:eastAsia="仿宋_GB2312" w:cs="宋体"/>
                <w:snapToGrid w:val="0"/>
                <w:color w:val="auto"/>
                <w:sz w:val="24"/>
                <w:szCs w:val="24"/>
                <w:highlight w:val="none"/>
                <w:u w:val="none"/>
              </w:rPr>
              <w:t>法</w:t>
            </w:r>
            <w:r>
              <w:rPr>
                <w:rFonts w:hint="eastAsia" w:ascii="黑体" w:hAnsi="黑体" w:eastAsia="黑体" w:cs="黑体"/>
                <w:b/>
                <w:bCs/>
                <w:snapToGrid w:val="0"/>
                <w:color w:val="auto"/>
                <w:sz w:val="24"/>
                <w:szCs w:val="24"/>
                <w:highlight w:val="none"/>
                <w:u w:val="none"/>
                <w:lang w:val="en-US" w:eastAsia="zh-CN"/>
              </w:rPr>
              <w:t>主管</w:t>
            </w:r>
            <w:r>
              <w:rPr>
                <w:rFonts w:hint="eastAsia" w:ascii="仿宋_GB2312" w:eastAsia="仿宋_GB2312" w:cs="宋体"/>
                <w:snapToGrid w:val="0"/>
                <w:color w:val="auto"/>
                <w:sz w:val="24"/>
                <w:szCs w:val="24"/>
                <w:highlight w:val="none"/>
                <w:u w:val="none"/>
              </w:rPr>
              <w:t>部门按照职责责令改正，处一万元以上十万元以下的罚款；拒不改正的，责令停工整治；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eastAsia="宋体"/>
                <w:color w:val="auto"/>
                <w:sz w:val="24"/>
                <w:szCs w:val="24"/>
                <w:highlight w:val="none"/>
                <w:vertAlign w:val="baseline"/>
                <w:lang w:eastAsia="zh-CN"/>
              </w:rPr>
            </w:pPr>
            <w:r>
              <w:rPr>
                <w:rFonts w:hint="eastAsia" w:ascii="仿宋_GB2312" w:eastAsia="仿宋_GB2312" w:cs="宋体"/>
                <w:snapToGrid w:val="0"/>
                <w:color w:val="auto"/>
                <w:sz w:val="24"/>
                <w:szCs w:val="24"/>
                <w:highlight w:val="none"/>
                <w:u w:val="none"/>
              </w:rPr>
              <w:t>（二</w:t>
            </w:r>
            <w:r>
              <w:rPr>
                <w:rFonts w:hint="eastAsia" w:ascii="仿宋_GB2312" w:eastAsia="仿宋_GB2312" w:cs="宋体"/>
                <w:snapToGrid w:val="0"/>
                <w:color w:val="auto"/>
                <w:spacing w:val="-6"/>
                <w:sz w:val="24"/>
                <w:szCs w:val="24"/>
                <w:highlight w:val="none"/>
                <w:u w:val="none"/>
              </w:rPr>
              <w:t>）其他区域由</w:t>
            </w:r>
            <w:r>
              <w:rPr>
                <w:rFonts w:hint="eastAsia" w:ascii="仿宋_GB2312" w:eastAsia="仿宋_GB2312" w:cs="宋体"/>
                <w:snapToGrid w:val="0"/>
                <w:color w:val="auto"/>
                <w:spacing w:val="-6"/>
                <w:sz w:val="24"/>
                <w:szCs w:val="24"/>
                <w:highlight w:val="none"/>
                <w:u w:val="none"/>
                <w:bdr w:val="single" w:color="000000" w:sz="4" w:space="0"/>
              </w:rPr>
              <w:t>住建</w:t>
            </w:r>
            <w:r>
              <w:rPr>
                <w:rFonts w:hint="eastAsia" w:ascii="黑体" w:hAnsi="黑体" w:eastAsia="黑体" w:cs="黑体"/>
                <w:b/>
                <w:bCs/>
                <w:snapToGrid w:val="0"/>
                <w:color w:val="auto"/>
                <w:spacing w:val="-6"/>
                <w:sz w:val="24"/>
                <w:szCs w:val="24"/>
                <w:highlight w:val="none"/>
                <w:u w:val="none"/>
                <w:lang w:val="en-US" w:eastAsia="zh-CN"/>
              </w:rPr>
              <w:t>住房城乡建设主管</w:t>
            </w:r>
            <w:r>
              <w:rPr>
                <w:rFonts w:hint="eastAsia" w:ascii="仿宋_GB2312" w:eastAsia="仿宋_GB2312" w:cs="宋体"/>
                <w:snapToGrid w:val="0"/>
                <w:color w:val="auto"/>
                <w:spacing w:val="-6"/>
                <w:sz w:val="24"/>
                <w:szCs w:val="24"/>
                <w:highlight w:val="none"/>
                <w:u w:val="none"/>
              </w:rPr>
              <w:t>部</w:t>
            </w:r>
            <w:r>
              <w:rPr>
                <w:rFonts w:hint="eastAsia" w:ascii="仿宋_GB2312" w:eastAsia="仿宋_GB2312" w:cs="宋体"/>
                <w:snapToGrid w:val="0"/>
                <w:color w:val="auto"/>
                <w:spacing w:val="-6"/>
                <w:sz w:val="24"/>
                <w:szCs w:val="24"/>
                <w:highlight w:val="none"/>
              </w:rPr>
              <w:t>门按照职责责令改正，处一万元以上十万元以下的罚款；拒不改正的，责令停工整治。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2"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第五十条</w:t>
            </w:r>
            <w:r>
              <w:rPr>
                <w:rFonts w:hint="eastAsia" w:ascii="仿宋_GB2312" w:eastAsia="仿宋_GB2312" w:cs="宋体"/>
                <w:snapToGrid w:val="0"/>
                <w:color w:val="auto"/>
                <w:sz w:val="24"/>
                <w:szCs w:val="24"/>
              </w:rPr>
              <w:t xml:space="preserve">  违反本条例第三十一条第二款规定，未采取扬尘污染防治措施的，按照以下规定予以处罚：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（一）在城市建成区以及其他由市、区（县）人民政府确定实行城镇化管理的区域，由城市管理执法部门按照职责责令改正，处一万元以上十万元以下的罚款；拒不改正的，责令停工整治;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（二）其他区域由住建部门按照职责责令改正，处一万元以上十万元以下的罚款；拒不改正的，责令停工整治。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highlight w:val="none"/>
              </w:rPr>
            </w:pPr>
            <w:r>
              <w:rPr>
                <w:rFonts w:hint="eastAsia" w:ascii="黑体" w:hAnsi="黑体" w:eastAsia="黑体" w:cs="宋体"/>
                <w:b/>
                <w:bCs/>
                <w:snapToGrid w:val="0"/>
                <w:color w:val="auto"/>
                <w:sz w:val="24"/>
                <w:szCs w:val="24"/>
                <w:highlight w:val="none"/>
                <w:lang w:val="en-US" w:eastAsia="zh-CN"/>
              </w:rPr>
              <w:t>第三十条</w:t>
            </w:r>
            <w:r>
              <w:rPr>
                <w:rFonts w:hint="eastAsia" w:ascii="黑体" w:hAnsi="黑体" w:eastAsia="黑体" w:cs="宋体"/>
                <w:snapToGrid w:val="0"/>
                <w:color w:val="auto"/>
                <w:sz w:val="24"/>
                <w:szCs w:val="24"/>
                <w:highlight w:val="none"/>
                <w:bdr w:val="single" w:color="000000" w:sz="4" w:space="0"/>
              </w:rPr>
              <w:t>第五十条</w:t>
            </w:r>
            <w:r>
              <w:rPr>
                <w:rFonts w:hint="eastAsia" w:ascii="仿宋_GB2312" w:eastAsia="仿宋_GB2312" w:cs="宋体"/>
                <w:snapToGrid w:val="0"/>
                <w:color w:val="auto"/>
                <w:sz w:val="24"/>
                <w:szCs w:val="24"/>
                <w:highlight w:val="none"/>
              </w:rPr>
              <w:t xml:space="preserve">  违反本条例</w:t>
            </w:r>
            <w:r>
              <w:rPr>
                <w:rFonts w:hint="eastAsia" w:ascii="仿宋_GB2312" w:eastAsia="仿宋_GB2312" w:cs="宋体"/>
                <w:snapToGrid w:val="0"/>
                <w:color w:val="auto"/>
                <w:sz w:val="24"/>
                <w:szCs w:val="24"/>
                <w:highlight w:val="none"/>
                <w:bdr w:val="single" w:color="000000" w:sz="4" w:space="0"/>
              </w:rPr>
              <w:t>第三十一条</w:t>
            </w:r>
            <w:r>
              <w:rPr>
                <w:rFonts w:hint="eastAsia" w:ascii="黑体" w:hAnsi="黑体" w:eastAsia="黑体" w:cs="宋体"/>
                <w:b/>
                <w:bCs/>
                <w:snapToGrid w:val="0"/>
                <w:color w:val="auto"/>
                <w:sz w:val="24"/>
                <w:szCs w:val="24"/>
                <w:highlight w:val="none"/>
                <w:lang w:val="en-US" w:eastAsia="zh-CN"/>
              </w:rPr>
              <w:t>第十九条</w:t>
            </w:r>
            <w:r>
              <w:rPr>
                <w:rFonts w:hint="eastAsia" w:ascii="仿宋_GB2312" w:eastAsia="仿宋_GB2312" w:cs="宋体"/>
                <w:snapToGrid w:val="0"/>
                <w:color w:val="auto"/>
                <w:sz w:val="24"/>
                <w:szCs w:val="24"/>
                <w:highlight w:val="none"/>
              </w:rPr>
              <w:t>第二款规定，未采取扬尘污染防治措施的，按照以下规定予以处罚：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rPr>
            </w:pPr>
            <w:r>
              <w:rPr>
                <w:rFonts w:hint="eastAsia" w:ascii="仿宋_GB2312" w:eastAsia="仿宋_GB2312" w:cs="宋体"/>
                <w:snapToGrid w:val="0"/>
                <w:color w:val="auto"/>
                <w:sz w:val="24"/>
                <w:szCs w:val="24"/>
                <w:highlight w:val="none"/>
              </w:rPr>
              <w:t>（一）在城市建成区以及其他由市、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宋体"/>
                <w:b/>
                <w:bCs/>
                <w:snapToGrid w:val="0"/>
                <w:color w:val="auto"/>
                <w:sz w:val="24"/>
                <w:szCs w:val="24"/>
                <w:highlight w:val="none"/>
                <w:lang w:val="en-US" w:eastAsia="zh-CN"/>
              </w:rPr>
              <w:t>县（区）</w:t>
            </w:r>
            <w:r>
              <w:rPr>
                <w:rFonts w:hint="eastAsia" w:ascii="仿宋_GB2312" w:eastAsia="仿宋_GB2312" w:cs="宋体"/>
                <w:snapToGrid w:val="0"/>
                <w:color w:val="auto"/>
                <w:sz w:val="24"/>
                <w:szCs w:val="24"/>
                <w:highlight w:val="none"/>
              </w:rPr>
              <w:t>人民政府确定实行城镇化管理的区域，由城市管理执法</w:t>
            </w:r>
            <w:r>
              <w:rPr>
                <w:rFonts w:hint="eastAsia" w:ascii="黑体" w:hAnsi="黑体" w:eastAsia="黑体" w:cs="黑体"/>
                <w:b/>
                <w:bCs/>
                <w:snapToGrid w:val="0"/>
                <w:color w:val="auto"/>
                <w:sz w:val="24"/>
                <w:szCs w:val="24"/>
                <w:highlight w:val="none"/>
                <w:u w:val="none"/>
                <w:lang w:val="en-US" w:eastAsia="zh-CN"/>
              </w:rPr>
              <w:t>主管</w:t>
            </w:r>
            <w:r>
              <w:rPr>
                <w:rFonts w:hint="eastAsia" w:ascii="仿宋_GB2312" w:eastAsia="仿宋_GB2312" w:cs="宋体"/>
                <w:snapToGrid w:val="0"/>
                <w:color w:val="auto"/>
                <w:sz w:val="24"/>
                <w:szCs w:val="24"/>
                <w:highlight w:val="none"/>
              </w:rPr>
              <w:t>部门按照职责责令改正，处一万元以上十万元以下的罚款；拒不改正的，责令停工整治;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highlight w:val="none"/>
                <w:vertAlign w:val="baseline"/>
              </w:rPr>
            </w:pPr>
            <w:r>
              <w:rPr>
                <w:rFonts w:hint="eastAsia" w:ascii="仿宋_GB2312" w:eastAsia="仿宋_GB2312" w:cs="宋体"/>
                <w:snapToGrid w:val="0"/>
                <w:color w:val="auto"/>
                <w:sz w:val="24"/>
                <w:szCs w:val="24"/>
                <w:highlight w:val="none"/>
              </w:rPr>
              <w:t>（二）其他区域由</w:t>
            </w:r>
            <w:r>
              <w:rPr>
                <w:rFonts w:hint="eastAsia" w:ascii="仿宋_GB2312" w:eastAsia="仿宋_GB2312" w:cs="宋体"/>
                <w:snapToGrid w:val="0"/>
                <w:color w:val="auto"/>
                <w:sz w:val="24"/>
                <w:szCs w:val="24"/>
                <w:highlight w:val="none"/>
                <w:bdr w:val="single" w:color="000000" w:sz="4" w:space="0"/>
              </w:rPr>
              <w:t>住建</w:t>
            </w:r>
            <w:r>
              <w:rPr>
                <w:rFonts w:hint="eastAsia" w:ascii="黑体" w:hAnsi="黑体" w:eastAsia="黑体" w:cs="黑体"/>
                <w:b/>
                <w:bCs/>
                <w:snapToGrid w:val="0"/>
                <w:color w:val="auto"/>
                <w:sz w:val="24"/>
                <w:szCs w:val="24"/>
                <w:highlight w:val="none"/>
                <w:u w:val="none"/>
                <w:lang w:val="en-US" w:eastAsia="zh-CN"/>
              </w:rPr>
              <w:t>住房城乡建设主管</w:t>
            </w:r>
            <w:r>
              <w:rPr>
                <w:rFonts w:hint="eastAsia" w:ascii="仿宋_GB2312" w:eastAsia="仿宋_GB2312" w:cs="宋体"/>
                <w:snapToGrid w:val="0"/>
                <w:color w:val="auto"/>
                <w:sz w:val="24"/>
                <w:szCs w:val="24"/>
                <w:highlight w:val="none"/>
              </w:rPr>
              <w:t>部门按照职责责令改正，处一万元以上十万元以下的罚款；拒不改正的，责令停工整治。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第五十一条</w:t>
            </w:r>
            <w:r>
              <w:rPr>
                <w:rFonts w:hint="eastAsia" w:ascii="楷体" w:hAnsi="楷体" w:eastAsia="楷体" w:cs="楷体"/>
                <w:snapToGrid w:val="0"/>
                <w:color w:val="auto"/>
                <w:sz w:val="24"/>
                <w:szCs w:val="24"/>
              </w:rPr>
              <w:t xml:space="preserve"> </w:t>
            </w:r>
            <w:r>
              <w:rPr>
                <w:rFonts w:hint="eastAsia" w:ascii="仿宋_GB2312" w:eastAsia="仿宋_GB2312" w:cs="宋体"/>
                <w:snapToGrid w:val="0"/>
                <w:color w:val="auto"/>
                <w:sz w:val="24"/>
                <w:szCs w:val="24"/>
              </w:rPr>
              <w:t>违反本条例第三十一条第四款规定，建筑土方、工程渣土、建筑垃圾未及时清运，或者未采用密闭式防尘网遮盖的，按照以下规定予以处罚：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（一）在城市建成区以及其他由市、区（县）人民政府确定实行城镇化管理的区域，由城市管理执法部门按照职责责令改正，处一万元以上十万元以下的罚款；拒不改正的，责令停工整治；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（二）其他区域由住建部门按照职责责令改正，处一万元以上十万元以下的罚款；拒不改正的，责令停工整治。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b/>
                <w:bCs/>
                <w:snapToGrid w:val="0"/>
                <w:color w:val="auto"/>
                <w:sz w:val="24"/>
                <w:szCs w:val="24"/>
                <w:highlight w:val="none"/>
                <w:lang w:val="en-US" w:eastAsia="zh-CN"/>
              </w:rPr>
              <w:t>第三十一条</w:t>
            </w:r>
            <w:r>
              <w:rPr>
                <w:rFonts w:hint="eastAsia" w:ascii="黑体" w:hAnsi="黑体" w:eastAsia="黑体" w:cs="宋体"/>
                <w:snapToGrid w:val="0"/>
                <w:color w:val="auto"/>
                <w:sz w:val="24"/>
                <w:szCs w:val="24"/>
                <w:bdr w:val="single" w:color="000000" w:sz="4" w:space="0"/>
              </w:rPr>
              <w:t>第五十一条</w:t>
            </w:r>
            <w:r>
              <w:rPr>
                <w:rFonts w:hint="eastAsia" w:ascii="楷体" w:hAnsi="楷体" w:eastAsia="楷体" w:cs="楷体"/>
                <w:snapToGrid w:val="0"/>
                <w:color w:val="auto"/>
                <w:sz w:val="24"/>
                <w:szCs w:val="24"/>
              </w:rPr>
              <w:t xml:space="preserve"> </w:t>
            </w:r>
            <w:r>
              <w:rPr>
                <w:rFonts w:hint="eastAsia" w:ascii="楷体" w:hAnsi="楷体" w:eastAsia="楷体" w:cs="楷体"/>
                <w:snapToGrid w:val="0"/>
                <w:color w:val="auto"/>
                <w:sz w:val="24"/>
                <w:szCs w:val="24"/>
                <w:lang w:val="en-US" w:eastAsia="zh-CN"/>
              </w:rPr>
              <w:t xml:space="preserve"> </w:t>
            </w:r>
            <w:r>
              <w:rPr>
                <w:rFonts w:hint="eastAsia" w:ascii="仿宋_GB2312" w:eastAsia="仿宋_GB2312" w:cs="宋体"/>
                <w:snapToGrid w:val="0"/>
                <w:color w:val="auto"/>
                <w:sz w:val="24"/>
                <w:szCs w:val="24"/>
              </w:rPr>
              <w:t>违反本条例</w:t>
            </w:r>
            <w:r>
              <w:rPr>
                <w:rFonts w:hint="eastAsia" w:ascii="仿宋_GB2312" w:eastAsia="仿宋_GB2312" w:cs="宋体"/>
                <w:snapToGrid w:val="0"/>
                <w:color w:val="auto"/>
                <w:sz w:val="24"/>
                <w:szCs w:val="24"/>
                <w:bdr w:val="single" w:color="000000" w:sz="4" w:space="0"/>
              </w:rPr>
              <w:t>第三十一条</w:t>
            </w:r>
            <w:r>
              <w:rPr>
                <w:rFonts w:hint="eastAsia" w:ascii="黑体" w:hAnsi="黑体" w:eastAsia="黑体" w:cs="宋体"/>
                <w:b/>
                <w:bCs/>
                <w:snapToGrid w:val="0"/>
                <w:color w:val="auto"/>
                <w:sz w:val="24"/>
                <w:szCs w:val="24"/>
                <w:highlight w:val="none"/>
                <w:lang w:val="en-US" w:eastAsia="zh-CN"/>
              </w:rPr>
              <w:t>第十九条</w:t>
            </w:r>
            <w:r>
              <w:rPr>
                <w:rFonts w:hint="eastAsia" w:ascii="仿宋_GB2312" w:eastAsia="仿宋_GB2312" w:cs="宋体"/>
                <w:snapToGrid w:val="0"/>
                <w:color w:val="auto"/>
                <w:sz w:val="24"/>
                <w:szCs w:val="24"/>
              </w:rPr>
              <w:t>第四款规定，</w:t>
            </w:r>
            <w:r>
              <w:rPr>
                <w:rFonts w:hint="eastAsia" w:ascii="仿宋_GB2312" w:eastAsia="仿宋_GB2312" w:cs="宋体"/>
                <w:snapToGrid w:val="0"/>
                <w:color w:val="auto"/>
                <w:sz w:val="24"/>
                <w:szCs w:val="24"/>
                <w:bdr w:val="single" w:color="000000" w:sz="4" w:space="0"/>
              </w:rPr>
              <w:t>建筑土方、工程渣土、建筑垃圾未及时清运，或者未采用密闭式防尘网遮盖的</w:t>
            </w:r>
            <w:r>
              <w:rPr>
                <w:rFonts w:hint="eastAsia" w:ascii="黑体" w:hAnsi="黑体" w:eastAsia="黑体" w:cs="宋体"/>
                <w:b/>
                <w:bCs/>
                <w:snapToGrid w:val="0"/>
                <w:color w:val="auto"/>
                <w:sz w:val="24"/>
                <w:szCs w:val="24"/>
                <w:highlight w:val="none"/>
                <w:lang w:val="en-US" w:eastAsia="zh-CN"/>
              </w:rPr>
              <w:t>建筑土方未及时清运，或者在场地内堆存时未采用密闭式防尘网遮盖的</w:t>
            </w:r>
            <w:r>
              <w:rPr>
                <w:rFonts w:hint="eastAsia" w:ascii="仿宋_GB2312" w:eastAsia="仿宋_GB2312" w:cs="宋体"/>
                <w:snapToGrid w:val="0"/>
                <w:color w:val="auto"/>
                <w:sz w:val="24"/>
                <w:szCs w:val="24"/>
              </w:rPr>
              <w:t>，按照以下规定予以处罚：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（一）在城市建成区以及其他由市、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宋体"/>
                <w:b/>
                <w:bCs/>
                <w:snapToGrid w:val="0"/>
                <w:color w:val="auto"/>
                <w:sz w:val="24"/>
                <w:szCs w:val="24"/>
                <w:highlight w:val="none"/>
                <w:lang w:val="en-US" w:eastAsia="zh-CN"/>
              </w:rPr>
              <w:t>县（区）</w:t>
            </w:r>
            <w:r>
              <w:rPr>
                <w:rFonts w:hint="eastAsia" w:ascii="仿宋_GB2312" w:eastAsia="仿宋_GB2312" w:cs="宋体"/>
                <w:snapToGrid w:val="0"/>
                <w:color w:val="auto"/>
                <w:sz w:val="24"/>
                <w:szCs w:val="24"/>
              </w:rPr>
              <w:t>人民政府确定实行城镇化管理的区域，由城市管理执法</w:t>
            </w:r>
            <w:r>
              <w:rPr>
                <w:rFonts w:hint="eastAsia" w:ascii="黑体" w:hAnsi="黑体" w:eastAsia="黑体" w:cs="宋体"/>
                <w:b/>
                <w:bCs/>
                <w:snapToGrid w:val="0"/>
                <w:color w:val="auto"/>
                <w:sz w:val="24"/>
                <w:szCs w:val="24"/>
                <w:highlight w:val="none"/>
                <w:lang w:val="en-US" w:eastAsia="zh-CN"/>
              </w:rPr>
              <w:t>主管</w:t>
            </w:r>
            <w:r>
              <w:rPr>
                <w:rFonts w:hint="eastAsia" w:ascii="仿宋_GB2312" w:eastAsia="仿宋_GB2312" w:cs="宋体"/>
                <w:snapToGrid w:val="0"/>
                <w:color w:val="auto"/>
                <w:sz w:val="24"/>
                <w:szCs w:val="24"/>
              </w:rPr>
              <w:t>部门按照职责责令改正，处一万元以上十万元以下的罚款；拒不改正的，责令停工整治；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default" w:ascii="楷体_GB2312" w:hAnsi="楷体_GB2312" w:eastAsia="楷体_GB2312" w:cs="楷体_GB2312"/>
                <w:color w:val="auto"/>
                <w:sz w:val="24"/>
                <w:szCs w:val="24"/>
                <w:highlight w:val="none"/>
                <w:vertAlign w:val="baseline"/>
                <w:lang w:val="en-US" w:eastAsia="zh-CN"/>
              </w:rPr>
            </w:pPr>
            <w:r>
              <w:rPr>
                <w:rFonts w:hint="eastAsia" w:ascii="仿宋_GB2312" w:eastAsia="仿宋_GB2312" w:cs="宋体"/>
                <w:snapToGrid w:val="0"/>
                <w:color w:val="auto"/>
                <w:sz w:val="24"/>
                <w:szCs w:val="24"/>
              </w:rPr>
              <w:t>（二）其他区域由</w:t>
            </w:r>
            <w:r>
              <w:rPr>
                <w:rFonts w:hint="eastAsia" w:ascii="仿宋_GB2312" w:eastAsia="仿宋_GB2312" w:cs="宋体"/>
                <w:snapToGrid w:val="0"/>
                <w:color w:val="auto"/>
                <w:sz w:val="24"/>
                <w:szCs w:val="24"/>
                <w:bdr w:val="single" w:color="000000" w:sz="4" w:space="0"/>
              </w:rPr>
              <w:t>住建</w:t>
            </w:r>
            <w:r>
              <w:rPr>
                <w:rFonts w:hint="eastAsia" w:ascii="黑体" w:hAnsi="黑体" w:eastAsia="黑体" w:cs="宋体"/>
                <w:b/>
                <w:bCs/>
                <w:snapToGrid w:val="0"/>
                <w:color w:val="auto"/>
                <w:sz w:val="24"/>
                <w:szCs w:val="24"/>
                <w:highlight w:val="none"/>
                <w:lang w:val="en-US" w:eastAsia="zh-CN"/>
              </w:rPr>
              <w:t>住房城乡建设主管</w:t>
            </w:r>
            <w:r>
              <w:rPr>
                <w:rFonts w:hint="eastAsia" w:ascii="仿宋_GB2312" w:eastAsia="仿宋_GB2312" w:cs="宋体"/>
                <w:snapToGrid w:val="0"/>
                <w:color w:val="auto"/>
                <w:sz w:val="24"/>
                <w:szCs w:val="24"/>
              </w:rPr>
              <w:t>部门按照职责责令改正，处一万元以上十万元以下的罚款；拒不改正的，责令停工整治。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第五十二条</w:t>
            </w:r>
            <w:r>
              <w:rPr>
                <w:rFonts w:hint="eastAsia" w:ascii="仿宋_GB2312" w:eastAsia="仿宋_GB2312" w:cs="宋体"/>
                <w:snapToGrid w:val="0"/>
                <w:color w:val="auto"/>
                <w:sz w:val="24"/>
                <w:szCs w:val="24"/>
              </w:rPr>
              <w:t xml:space="preserve">  违反本条例第三十二条规定，有下列行为之一的，由生态环境主管部门按照职责责令改正，处一万元以上十万元以下的罚款；拒不改正的，责令停工整治或者停业整治: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（一）未密闭煤炭、煤矸石、煤渣、煤灰、水泥、石灰、石膏、砂土等易产生扬尘的物料的；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（二）对不能密闭的易产生扬尘的物料，未设置不低于堆放物高度的严密围挡，或者未采取有效覆盖措施防治扬尘污染的；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（三）装卸物料未采取密闭或者喷淋等方式控制扬尘排放的；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（四）存放煤炭、煤矸石、煤渣、煤灰等物料，未采取防燃措施的。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（五）矿山、填埋场和消纳场未采取有效措施防治扬尘污染的。</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highlight w:val="none"/>
                <w:u w:val="none"/>
                <w:lang w:eastAsia="zh-CN"/>
              </w:rPr>
            </w:pPr>
            <w:r>
              <w:rPr>
                <w:rFonts w:hint="eastAsia" w:ascii="黑体" w:hAnsi="黑体" w:eastAsia="黑体" w:cs="宋体"/>
                <w:b/>
                <w:bCs/>
                <w:snapToGrid w:val="0"/>
                <w:color w:val="auto"/>
                <w:sz w:val="24"/>
                <w:szCs w:val="24"/>
                <w:highlight w:val="none"/>
                <w:u w:val="none"/>
                <w:lang w:val="en-US" w:eastAsia="zh-CN"/>
              </w:rPr>
              <w:t>第三十二条</w:t>
            </w:r>
            <w:r>
              <w:rPr>
                <w:rFonts w:hint="eastAsia" w:ascii="黑体" w:hAnsi="黑体" w:eastAsia="黑体" w:cs="宋体"/>
                <w:snapToGrid w:val="0"/>
                <w:color w:val="auto"/>
                <w:sz w:val="24"/>
                <w:szCs w:val="24"/>
                <w:highlight w:val="none"/>
                <w:u w:val="none"/>
                <w:bdr w:val="single" w:color="000000" w:sz="4" w:space="0"/>
              </w:rPr>
              <w:t>第五十二条</w:t>
            </w:r>
            <w:r>
              <w:rPr>
                <w:rFonts w:hint="eastAsia" w:ascii="黑体" w:hAnsi="黑体" w:eastAsia="黑体" w:cs="宋体"/>
                <w:snapToGrid w:val="0"/>
                <w:color w:val="auto"/>
                <w:sz w:val="24"/>
                <w:szCs w:val="24"/>
                <w:highlight w:val="none"/>
                <w:u w:val="none"/>
                <w:lang w:val="en-US" w:eastAsia="zh-CN"/>
              </w:rPr>
              <w:t xml:space="preserve">  </w:t>
            </w:r>
            <w:r>
              <w:rPr>
                <w:rFonts w:hint="eastAsia" w:ascii="仿宋_GB2312" w:eastAsia="仿宋_GB2312" w:cs="宋体"/>
                <w:snapToGrid w:val="0"/>
                <w:color w:val="auto"/>
                <w:sz w:val="24"/>
                <w:szCs w:val="24"/>
                <w:highlight w:val="none"/>
                <w:u w:val="none"/>
              </w:rPr>
              <w:t>违反本条例</w:t>
            </w:r>
            <w:r>
              <w:rPr>
                <w:rFonts w:hint="eastAsia" w:ascii="仿宋_GB2312" w:eastAsia="仿宋_GB2312" w:cs="宋体"/>
                <w:snapToGrid w:val="0"/>
                <w:color w:val="auto"/>
                <w:sz w:val="24"/>
                <w:szCs w:val="24"/>
                <w:highlight w:val="none"/>
                <w:u w:val="none"/>
                <w:bdr w:val="single" w:color="000000" w:sz="4" w:space="0"/>
              </w:rPr>
              <w:t>第三十二条</w:t>
            </w:r>
            <w:r>
              <w:rPr>
                <w:rFonts w:hint="eastAsia" w:ascii="黑体" w:hAnsi="黑体" w:eastAsia="黑体" w:cs="宋体"/>
                <w:b/>
                <w:bCs/>
                <w:snapToGrid w:val="0"/>
                <w:color w:val="auto"/>
                <w:sz w:val="24"/>
                <w:szCs w:val="24"/>
                <w:highlight w:val="none"/>
                <w:u w:val="none"/>
                <w:lang w:val="en-US" w:eastAsia="zh-CN"/>
              </w:rPr>
              <w:t>第二十条</w:t>
            </w:r>
            <w:r>
              <w:rPr>
                <w:rFonts w:hint="eastAsia" w:ascii="仿宋_GB2312" w:eastAsia="仿宋_GB2312" w:cs="宋体"/>
                <w:snapToGrid w:val="0"/>
                <w:color w:val="auto"/>
                <w:sz w:val="24"/>
                <w:szCs w:val="24"/>
                <w:highlight w:val="none"/>
                <w:u w:val="none"/>
              </w:rPr>
              <w:t>规定，有下列行为之一的，由生态环境主管部门按照职责责令改正，处一万元以上十万元以下的罚款；拒不改正的，责令停工整治或者停业整治: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rPr>
            </w:pPr>
            <w:r>
              <w:rPr>
                <w:rFonts w:hint="eastAsia" w:ascii="仿宋_GB2312" w:eastAsia="仿宋_GB2312" w:cs="宋体"/>
                <w:snapToGrid w:val="0"/>
                <w:color w:val="auto"/>
                <w:sz w:val="24"/>
                <w:szCs w:val="24"/>
                <w:highlight w:val="none"/>
                <w:u w:val="none"/>
              </w:rPr>
              <w:t>（一）未密闭煤炭、煤矸石、煤渣、煤灰、水泥、石灰、石膏、砂土</w:t>
            </w:r>
            <w:r>
              <w:rPr>
                <w:rFonts w:hint="eastAsia" w:ascii="仿宋_GB2312" w:eastAsia="仿宋_GB2312" w:cs="宋体"/>
                <w:snapToGrid w:val="0"/>
                <w:color w:val="auto"/>
                <w:sz w:val="24"/>
                <w:szCs w:val="24"/>
                <w:highlight w:val="none"/>
                <w:u w:val="none"/>
                <w:lang w:val="en-US" w:eastAsia="zh-CN"/>
              </w:rPr>
              <w:t>、铁矿石</w:t>
            </w:r>
            <w:r>
              <w:rPr>
                <w:rFonts w:hint="eastAsia" w:ascii="仿宋_GB2312" w:eastAsia="仿宋_GB2312" w:cs="宋体"/>
                <w:snapToGrid w:val="0"/>
                <w:color w:val="auto"/>
                <w:sz w:val="24"/>
                <w:szCs w:val="24"/>
                <w:highlight w:val="none"/>
                <w:u w:val="none"/>
              </w:rPr>
              <w:t>等易产生扬尘的物料的；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rPr>
            </w:pPr>
            <w:r>
              <w:rPr>
                <w:rFonts w:hint="eastAsia" w:ascii="仿宋_GB2312" w:eastAsia="仿宋_GB2312" w:cs="宋体"/>
                <w:snapToGrid w:val="0"/>
                <w:color w:val="auto"/>
                <w:sz w:val="24"/>
                <w:szCs w:val="24"/>
                <w:highlight w:val="none"/>
                <w:u w:val="none"/>
              </w:rPr>
              <w:t>（二）对不能密闭的易产生扬尘的物料，未设置不低于堆放物高度的严密围挡，或者未采取有效覆盖措施防治扬尘污染的；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rPr>
            </w:pPr>
            <w:r>
              <w:rPr>
                <w:rFonts w:hint="eastAsia" w:ascii="仿宋_GB2312" w:eastAsia="仿宋_GB2312" w:cs="宋体"/>
                <w:snapToGrid w:val="0"/>
                <w:color w:val="auto"/>
                <w:sz w:val="24"/>
                <w:szCs w:val="24"/>
                <w:highlight w:val="none"/>
                <w:u w:val="none"/>
              </w:rPr>
              <w:t>（三）装卸物料未采取密闭或者喷淋等方式控制扬尘排放的；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u w:val="none"/>
              </w:rPr>
            </w:pPr>
            <w:r>
              <w:rPr>
                <w:rFonts w:hint="eastAsia" w:ascii="仿宋_GB2312" w:eastAsia="仿宋_GB2312" w:cs="宋体"/>
                <w:snapToGrid w:val="0"/>
                <w:color w:val="auto"/>
                <w:sz w:val="24"/>
                <w:szCs w:val="24"/>
                <w:highlight w:val="none"/>
                <w:u w:val="none"/>
              </w:rPr>
              <w:t>（四）存放煤炭、煤矸石、煤渣、煤灰等物料，未采取防燃措施的；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highlight w:val="none"/>
                <w:vertAlign w:val="baseline"/>
              </w:rPr>
            </w:pPr>
            <w:r>
              <w:rPr>
                <w:rFonts w:hint="eastAsia" w:ascii="仿宋_GB2312" w:eastAsia="仿宋_GB2312" w:cs="宋体"/>
                <w:snapToGrid w:val="0"/>
                <w:color w:val="auto"/>
                <w:sz w:val="24"/>
                <w:szCs w:val="24"/>
                <w:highlight w:val="none"/>
                <w:u w:val="none"/>
              </w:rPr>
              <w:t>（五）矿山、填埋场和消纳场未采取有效措施防治扬尘污染的。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第五十三条</w:t>
            </w:r>
            <w:r>
              <w:rPr>
                <w:rFonts w:hint="eastAsia" w:ascii="楷体_GB2312" w:hAnsi="黑体" w:eastAsia="楷体_GB2312" w:cs="宋体"/>
                <w:snapToGrid w:val="0"/>
                <w:color w:val="auto"/>
                <w:sz w:val="24"/>
                <w:szCs w:val="24"/>
              </w:rPr>
              <w:t xml:space="preserve"> </w:t>
            </w:r>
            <w:r>
              <w:rPr>
                <w:rFonts w:hint="eastAsia" w:ascii="仿宋_GB2312" w:eastAsia="仿宋_GB2312" w:cs="宋体"/>
                <w:snapToGrid w:val="0"/>
                <w:color w:val="auto"/>
                <w:sz w:val="24"/>
                <w:szCs w:val="24"/>
              </w:rPr>
              <w:t xml:space="preserve"> 违反本条例第三十三条规定，运输煤炭、垃圾、渣土、砂石、土方、灰浆、水泥等散装、流体物料的车辆，未采取密闭或者其他措施防止物料遗撒的，由公安机关交通管理部门责令改正，处二千元以上二万元以下的罚款；拒不改正的，车辆不得上道路行驶。</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highlight w:val="none"/>
                <w:vertAlign w:val="baseline"/>
              </w:rPr>
            </w:pPr>
            <w:r>
              <w:rPr>
                <w:rFonts w:hint="eastAsia" w:ascii="黑体" w:hAnsi="黑体" w:eastAsia="黑体" w:cs="宋体"/>
                <w:b/>
                <w:bCs/>
                <w:snapToGrid w:val="0"/>
                <w:color w:val="auto"/>
                <w:sz w:val="24"/>
                <w:szCs w:val="24"/>
                <w:highlight w:val="none"/>
                <w:lang w:val="en-US" w:eastAsia="zh-CN"/>
              </w:rPr>
              <w:t>第三十三条</w:t>
            </w:r>
            <w:r>
              <w:rPr>
                <w:rFonts w:hint="eastAsia" w:ascii="黑体" w:hAnsi="黑体" w:eastAsia="黑体" w:cs="宋体"/>
                <w:snapToGrid w:val="0"/>
                <w:color w:val="auto"/>
                <w:sz w:val="24"/>
                <w:szCs w:val="24"/>
                <w:highlight w:val="none"/>
                <w:bdr w:val="single" w:color="000000" w:sz="4" w:space="0"/>
              </w:rPr>
              <w:t>第五十三条</w:t>
            </w:r>
            <w:r>
              <w:rPr>
                <w:rFonts w:hint="eastAsia" w:ascii="楷体_GB2312" w:hAnsi="黑体" w:eastAsia="楷体_GB2312" w:cs="宋体"/>
                <w:snapToGrid w:val="0"/>
                <w:color w:val="auto"/>
                <w:sz w:val="24"/>
                <w:szCs w:val="24"/>
                <w:highlight w:val="none"/>
              </w:rPr>
              <w:t xml:space="preserve"> </w:t>
            </w:r>
            <w:r>
              <w:rPr>
                <w:rFonts w:hint="eastAsia" w:ascii="仿宋_GB2312" w:eastAsia="仿宋_GB2312" w:cs="宋体"/>
                <w:snapToGrid w:val="0"/>
                <w:color w:val="auto"/>
                <w:sz w:val="24"/>
                <w:szCs w:val="24"/>
                <w:highlight w:val="none"/>
              </w:rPr>
              <w:t xml:space="preserve"> 违反本条例</w:t>
            </w:r>
            <w:r>
              <w:rPr>
                <w:rFonts w:hint="eastAsia" w:ascii="仿宋_GB2312" w:eastAsia="仿宋_GB2312" w:cs="宋体"/>
                <w:snapToGrid w:val="0"/>
                <w:color w:val="auto"/>
                <w:sz w:val="24"/>
                <w:szCs w:val="24"/>
                <w:highlight w:val="none"/>
                <w:bdr w:val="single" w:color="000000" w:sz="4" w:space="0"/>
              </w:rPr>
              <w:t>第三十三条</w:t>
            </w:r>
            <w:r>
              <w:rPr>
                <w:rFonts w:hint="eastAsia" w:ascii="黑体" w:hAnsi="黑体" w:eastAsia="黑体" w:cs="宋体"/>
                <w:b/>
                <w:bCs/>
                <w:snapToGrid w:val="0"/>
                <w:color w:val="auto"/>
                <w:sz w:val="24"/>
                <w:szCs w:val="24"/>
                <w:highlight w:val="none"/>
                <w:lang w:val="en-US" w:eastAsia="zh-CN"/>
              </w:rPr>
              <w:t>第二十一条</w:t>
            </w:r>
            <w:r>
              <w:rPr>
                <w:rFonts w:hint="eastAsia" w:ascii="仿宋_GB2312" w:eastAsia="仿宋_GB2312" w:cs="宋体"/>
                <w:snapToGrid w:val="0"/>
                <w:color w:val="auto"/>
                <w:sz w:val="24"/>
                <w:szCs w:val="24"/>
                <w:highlight w:val="none"/>
              </w:rPr>
              <w:t>规定，运输煤炭、垃圾、渣土、砂石、土方、灰浆、水泥等散装、流体物料的车辆，未采取密闭或者其他措施防止物料遗撒的，</w:t>
            </w:r>
            <w:r>
              <w:rPr>
                <w:rFonts w:hint="eastAsia" w:ascii="黑体" w:hAnsi="黑体" w:eastAsia="黑体" w:cs="宋体"/>
                <w:b/>
                <w:bCs/>
                <w:snapToGrid w:val="0"/>
                <w:color w:val="auto"/>
                <w:sz w:val="24"/>
                <w:szCs w:val="24"/>
                <w:highlight w:val="none"/>
                <w:lang w:val="en-US" w:eastAsia="zh-CN"/>
              </w:rPr>
              <w:t>或者未按照规定路线行驶的，</w:t>
            </w:r>
            <w:r>
              <w:rPr>
                <w:rFonts w:hint="eastAsia" w:ascii="仿宋_GB2312" w:eastAsia="仿宋_GB2312" w:cs="宋体"/>
                <w:snapToGrid w:val="0"/>
                <w:color w:val="auto"/>
                <w:sz w:val="24"/>
                <w:szCs w:val="24"/>
                <w:highlight w:val="none"/>
              </w:rPr>
              <w:t>由公安机关交通管理部门责令改正，处二千元以上二万元以下的罚款；拒不改正的，车辆不得上道路行驶。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第五十四条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违反本条例第三十九条规定，未采取措施防止排放恶臭气体的，由生态环境等主管部门按照职责责令改正，处一万元以上十万元以下的罚款；拒不改正的，责令停工整治或者停业整治。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highlight w:val="none"/>
                <w:vertAlign w:val="baseline"/>
              </w:rPr>
            </w:pPr>
            <w:r>
              <w:rPr>
                <w:rFonts w:hint="eastAsia" w:ascii="楷体_GB2312" w:hAnsi="楷体_GB2312" w:eastAsia="楷体_GB2312" w:cs="楷体_GB2312"/>
                <w:color w:val="auto"/>
                <w:sz w:val="24"/>
                <w:szCs w:val="24"/>
                <w:highlight w:val="none"/>
                <w:vertAlign w:val="baseline"/>
                <w:lang w:eastAsia="zh-CN"/>
              </w:rPr>
              <w:t>（</w:t>
            </w:r>
            <w:r>
              <w:rPr>
                <w:rFonts w:hint="eastAsia" w:ascii="楷体_GB2312" w:hAnsi="楷体_GB2312" w:eastAsia="楷体_GB2312" w:cs="楷体_GB2312"/>
                <w:color w:val="auto"/>
                <w:sz w:val="24"/>
                <w:szCs w:val="24"/>
                <w:highlight w:val="none"/>
                <w:vertAlign w:val="baseline"/>
                <w:lang w:val="en-US" w:eastAsia="zh-CN"/>
              </w:rPr>
              <w:t>删</w:t>
            </w:r>
            <w:r>
              <w:rPr>
                <w:rFonts w:hint="eastAsia" w:ascii="楷体_GB2312" w:hAnsi="楷体_GB2312" w:eastAsia="楷体_GB2312" w:cs="楷体_GB2312"/>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第五十五条</w:t>
            </w:r>
            <w:r>
              <w:rPr>
                <w:rFonts w:hint="eastAsia" w:ascii="楷体_GB2312" w:hAnsi="黑体" w:eastAsia="楷体_GB2312" w:cs="宋体"/>
                <w:snapToGrid w:val="0"/>
                <w:color w:val="auto"/>
                <w:sz w:val="24"/>
                <w:szCs w:val="24"/>
              </w:rPr>
              <w:t xml:space="preserve"> </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违反本条例第四十条第三款规定，在居民住宅楼、未配套设立专用烟道的商住综合楼、商住综合楼内与居住层相邻的商业楼层内新建、改建、扩建产生油烟、异味、废气的餐饮服务项目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（一）在城市建成区以及其他由市、区（县）人民政府确定实行城镇化管理的其他区域，由城市管理执法部门责令改正；拒不改正的，予以关闭，并处一万元以上十万元以下的罚款；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（二）其他区域由生态环境主管部门责令改正；拒不改正的，予以关闭，并处一万元以上十万元以下的罚款。</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highlight w:val="none"/>
              </w:rPr>
            </w:pPr>
            <w:r>
              <w:rPr>
                <w:rFonts w:hint="eastAsia" w:ascii="黑体" w:hAnsi="黑体" w:eastAsia="黑体" w:cs="宋体"/>
                <w:b/>
                <w:bCs/>
                <w:snapToGrid w:val="0"/>
                <w:color w:val="auto"/>
                <w:sz w:val="24"/>
                <w:szCs w:val="24"/>
                <w:highlight w:val="none"/>
                <w:lang w:val="en-US" w:eastAsia="zh-CN"/>
              </w:rPr>
              <w:t>第三十四条</w:t>
            </w:r>
            <w:r>
              <w:rPr>
                <w:rFonts w:hint="eastAsia" w:ascii="黑体" w:hAnsi="黑体" w:eastAsia="黑体" w:cs="宋体"/>
                <w:snapToGrid w:val="0"/>
                <w:color w:val="auto"/>
                <w:sz w:val="24"/>
                <w:szCs w:val="24"/>
                <w:highlight w:val="none"/>
                <w:bdr w:val="single" w:color="000000" w:sz="4" w:space="0"/>
              </w:rPr>
              <w:t>第五十五条</w:t>
            </w:r>
            <w:r>
              <w:rPr>
                <w:rFonts w:hint="eastAsia" w:ascii="楷体_GB2312" w:hAnsi="黑体" w:eastAsia="楷体_GB2312" w:cs="宋体"/>
                <w:snapToGrid w:val="0"/>
                <w:color w:val="auto"/>
                <w:sz w:val="24"/>
                <w:szCs w:val="24"/>
                <w:highlight w:val="none"/>
              </w:rPr>
              <w:t xml:space="preserve"> </w:t>
            </w:r>
            <w:r>
              <w:rPr>
                <w:rFonts w:hint="eastAsia" w:ascii="黑体" w:hAnsi="黑体" w:eastAsia="黑体" w:cs="黑体"/>
                <w:b/>
                <w:bCs/>
                <w:snapToGrid w:val="0"/>
                <w:color w:val="auto"/>
                <w:sz w:val="24"/>
                <w:szCs w:val="24"/>
                <w:highlight w:val="none"/>
              </w:rPr>
              <w:t xml:space="preserve"> </w:t>
            </w:r>
            <w:r>
              <w:rPr>
                <w:rFonts w:hint="eastAsia" w:ascii="仿宋_GB2312" w:eastAsia="仿宋_GB2312" w:cs="宋体"/>
                <w:snapToGrid w:val="0"/>
                <w:color w:val="auto"/>
                <w:sz w:val="24"/>
                <w:szCs w:val="24"/>
                <w:highlight w:val="none"/>
              </w:rPr>
              <w:t>违反本条例</w:t>
            </w:r>
            <w:r>
              <w:rPr>
                <w:rFonts w:hint="eastAsia" w:ascii="仿宋_GB2312" w:eastAsia="仿宋_GB2312" w:cs="宋体"/>
                <w:snapToGrid w:val="0"/>
                <w:color w:val="auto"/>
                <w:sz w:val="24"/>
                <w:szCs w:val="24"/>
                <w:highlight w:val="none"/>
                <w:bdr w:val="single" w:color="000000" w:sz="4" w:space="0"/>
              </w:rPr>
              <w:t>第四十条</w:t>
            </w:r>
            <w:r>
              <w:rPr>
                <w:rFonts w:hint="eastAsia" w:ascii="黑体" w:hAnsi="黑体" w:eastAsia="黑体" w:cs="宋体"/>
                <w:b/>
                <w:bCs/>
                <w:snapToGrid w:val="0"/>
                <w:color w:val="auto"/>
                <w:sz w:val="24"/>
                <w:szCs w:val="24"/>
                <w:highlight w:val="none"/>
                <w:lang w:val="en-US" w:eastAsia="zh-CN"/>
              </w:rPr>
              <w:t>第二十六条</w:t>
            </w:r>
            <w:r>
              <w:rPr>
                <w:rFonts w:hint="eastAsia" w:ascii="仿宋_GB2312" w:eastAsia="仿宋_GB2312" w:cs="宋体"/>
                <w:snapToGrid w:val="0"/>
                <w:color w:val="auto"/>
                <w:sz w:val="24"/>
                <w:szCs w:val="24"/>
                <w:highlight w:val="none"/>
              </w:rPr>
              <w:t>第三款规定，在居民住宅楼、未配套设立专用烟道的商住综合楼、商住综合楼内与居住层相邻的商业楼层内新建、改建、扩建产生油烟、异味、废气的餐饮服务项目的，按照以下规定予以处罚：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rPr>
            </w:pPr>
            <w:r>
              <w:rPr>
                <w:rFonts w:hint="eastAsia" w:ascii="仿宋_GB2312" w:eastAsia="仿宋_GB2312" w:cs="宋体"/>
                <w:snapToGrid w:val="0"/>
                <w:color w:val="auto"/>
                <w:sz w:val="24"/>
                <w:szCs w:val="24"/>
                <w:highlight w:val="none"/>
              </w:rPr>
              <w:t>（一）在城市建成区以及其他由市、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宋体"/>
                <w:b/>
                <w:bCs/>
                <w:snapToGrid w:val="0"/>
                <w:color w:val="auto"/>
                <w:sz w:val="24"/>
                <w:szCs w:val="24"/>
                <w:highlight w:val="none"/>
                <w:lang w:val="en-US" w:eastAsia="zh-CN"/>
              </w:rPr>
              <w:t>县（区）</w:t>
            </w:r>
            <w:r>
              <w:rPr>
                <w:rFonts w:hint="eastAsia" w:ascii="仿宋_GB2312" w:eastAsia="仿宋_GB2312" w:cs="宋体"/>
                <w:snapToGrid w:val="0"/>
                <w:color w:val="auto"/>
                <w:sz w:val="24"/>
                <w:szCs w:val="24"/>
                <w:highlight w:val="none"/>
              </w:rPr>
              <w:t>人民政府确定实行城镇化管理的其他区域，由城市管理执法</w:t>
            </w:r>
            <w:r>
              <w:rPr>
                <w:rFonts w:hint="eastAsia" w:ascii="黑体" w:hAnsi="黑体" w:eastAsia="黑体" w:cs="宋体"/>
                <w:b/>
                <w:bCs/>
                <w:snapToGrid w:val="0"/>
                <w:color w:val="auto"/>
                <w:sz w:val="24"/>
                <w:szCs w:val="24"/>
                <w:highlight w:val="none"/>
                <w:lang w:val="en-US" w:eastAsia="zh-CN"/>
              </w:rPr>
              <w:t>主管</w:t>
            </w:r>
            <w:r>
              <w:rPr>
                <w:rFonts w:hint="eastAsia" w:ascii="仿宋_GB2312" w:eastAsia="仿宋_GB2312" w:cs="宋体"/>
                <w:snapToGrid w:val="0"/>
                <w:color w:val="auto"/>
                <w:sz w:val="24"/>
                <w:szCs w:val="24"/>
                <w:highlight w:val="none"/>
              </w:rPr>
              <w:t>部门责令改正；拒不改正的，予以关闭，并处一万元以上十万元以下的罚款；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highlight w:val="none"/>
                <w:vertAlign w:val="baseline"/>
              </w:rPr>
            </w:pPr>
            <w:r>
              <w:rPr>
                <w:rFonts w:hint="eastAsia" w:ascii="仿宋_GB2312" w:eastAsia="仿宋_GB2312" w:cs="宋体"/>
                <w:snapToGrid w:val="0"/>
                <w:color w:val="auto"/>
                <w:sz w:val="24"/>
                <w:szCs w:val="24"/>
                <w:highlight w:val="none"/>
              </w:rPr>
              <w:t>（二）其他区域由生态环境主管部门责令改正；拒不改正的，予以关闭，并处一万元以上十万元以下的罚款。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第五十六条</w:t>
            </w:r>
            <w:r>
              <w:rPr>
                <w:rFonts w:hint="eastAsia" w:ascii="黑体" w:hAnsi="黑体" w:eastAsia="黑体" w:cs="黑体"/>
                <w:b/>
                <w:bCs/>
                <w:snapToGrid w:val="0"/>
                <w:color w:val="auto"/>
                <w:sz w:val="24"/>
                <w:szCs w:val="24"/>
              </w:rPr>
              <w:t xml:space="preserve">  </w:t>
            </w:r>
            <w:r>
              <w:rPr>
                <w:rFonts w:hint="eastAsia" w:ascii="仿宋_GB2312" w:eastAsia="仿宋_GB2312" w:cs="宋体"/>
                <w:snapToGrid w:val="0"/>
                <w:color w:val="auto"/>
                <w:sz w:val="24"/>
                <w:szCs w:val="24"/>
              </w:rPr>
              <w:t>违反本条例第四十条第四款规定，在当地人民政府禁止的时段和区域内露天烧烤食品或者为露天烧烤食品提供场地的，由城市管理执法部门责令改正，没收烧烤工具和违法所得，并处五百元以上二万元以下的罚款。</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highlight w:val="none"/>
                <w:vertAlign w:val="baseline"/>
              </w:rPr>
            </w:pPr>
            <w:r>
              <w:rPr>
                <w:rFonts w:hint="eastAsia" w:ascii="黑体" w:hAnsi="黑体" w:eastAsia="黑体" w:cs="宋体"/>
                <w:b/>
                <w:bCs/>
                <w:snapToGrid w:val="0"/>
                <w:color w:val="auto"/>
                <w:sz w:val="24"/>
                <w:szCs w:val="24"/>
                <w:highlight w:val="none"/>
                <w:lang w:val="en-US" w:eastAsia="zh-CN"/>
              </w:rPr>
              <w:t>第三十五条</w:t>
            </w:r>
            <w:r>
              <w:rPr>
                <w:rFonts w:hint="eastAsia" w:ascii="黑体" w:hAnsi="黑体" w:eastAsia="黑体" w:cs="宋体"/>
                <w:snapToGrid w:val="0"/>
                <w:color w:val="auto"/>
                <w:sz w:val="24"/>
                <w:szCs w:val="24"/>
                <w:highlight w:val="none"/>
                <w:bdr w:val="single" w:color="000000" w:sz="4" w:space="0"/>
              </w:rPr>
              <w:t>第五十六条</w:t>
            </w:r>
            <w:r>
              <w:rPr>
                <w:rFonts w:hint="eastAsia" w:ascii="黑体" w:hAnsi="黑体" w:eastAsia="黑体" w:cs="宋体"/>
                <w:snapToGrid w:val="0"/>
                <w:color w:val="auto"/>
                <w:sz w:val="24"/>
                <w:szCs w:val="24"/>
                <w:highlight w:val="none"/>
                <w:lang w:val="en-US" w:eastAsia="zh-CN"/>
              </w:rPr>
              <w:t xml:space="preserve">  </w:t>
            </w:r>
            <w:r>
              <w:rPr>
                <w:rFonts w:hint="eastAsia" w:ascii="仿宋_GB2312" w:eastAsia="仿宋_GB2312" w:cs="宋体"/>
                <w:snapToGrid w:val="0"/>
                <w:color w:val="auto"/>
                <w:sz w:val="24"/>
                <w:szCs w:val="24"/>
                <w:highlight w:val="none"/>
              </w:rPr>
              <w:t>违反本条例</w:t>
            </w:r>
            <w:r>
              <w:rPr>
                <w:rFonts w:hint="eastAsia" w:ascii="仿宋_GB2312" w:eastAsia="仿宋_GB2312" w:cs="宋体"/>
                <w:snapToGrid w:val="0"/>
                <w:color w:val="auto"/>
                <w:sz w:val="24"/>
                <w:szCs w:val="24"/>
                <w:highlight w:val="none"/>
                <w:bdr w:val="single" w:color="000000" w:sz="4" w:space="0"/>
              </w:rPr>
              <w:t>第四十条</w:t>
            </w:r>
            <w:r>
              <w:rPr>
                <w:rFonts w:hint="eastAsia" w:ascii="黑体" w:hAnsi="黑体" w:eastAsia="黑体" w:cs="宋体"/>
                <w:b/>
                <w:bCs/>
                <w:snapToGrid w:val="0"/>
                <w:color w:val="auto"/>
                <w:sz w:val="24"/>
                <w:szCs w:val="24"/>
                <w:highlight w:val="none"/>
                <w:lang w:val="en-US" w:eastAsia="zh-CN"/>
              </w:rPr>
              <w:t>第二十六条</w:t>
            </w:r>
            <w:r>
              <w:rPr>
                <w:rFonts w:hint="eastAsia" w:ascii="仿宋_GB2312" w:eastAsia="仿宋_GB2312" w:cs="宋体"/>
                <w:snapToGrid w:val="0"/>
                <w:color w:val="auto"/>
                <w:sz w:val="24"/>
                <w:szCs w:val="24"/>
                <w:highlight w:val="none"/>
              </w:rPr>
              <w:t>第四款规定，在当地人民政府禁止的时段和区域内露天烧烤食品或者为露天烧烤食品提供场地的，由城市管理执法</w:t>
            </w:r>
            <w:r>
              <w:rPr>
                <w:rFonts w:hint="eastAsia" w:ascii="黑体" w:hAnsi="黑体" w:eastAsia="黑体" w:cs="宋体"/>
                <w:b/>
                <w:bCs/>
                <w:snapToGrid w:val="0"/>
                <w:color w:val="auto"/>
                <w:sz w:val="24"/>
                <w:szCs w:val="24"/>
                <w:highlight w:val="none"/>
                <w:lang w:val="en-US" w:eastAsia="zh-CN"/>
              </w:rPr>
              <w:t>主管</w:t>
            </w:r>
            <w:r>
              <w:rPr>
                <w:rFonts w:hint="eastAsia" w:ascii="仿宋_GB2312" w:eastAsia="仿宋_GB2312" w:cs="宋体"/>
                <w:snapToGrid w:val="0"/>
                <w:color w:val="auto"/>
                <w:sz w:val="24"/>
                <w:szCs w:val="24"/>
                <w:highlight w:val="none"/>
              </w:rPr>
              <w:t>部门责令改正，没收烧烤工具和违法所得，并处五百元以上</w:t>
            </w:r>
            <w:r>
              <w:rPr>
                <w:rFonts w:hint="eastAsia" w:ascii="仿宋_GB2312" w:eastAsia="仿宋_GB2312" w:cs="宋体"/>
                <w:snapToGrid w:val="0"/>
                <w:color w:val="auto"/>
                <w:sz w:val="24"/>
                <w:szCs w:val="24"/>
                <w:highlight w:val="none"/>
                <w:bdr w:val="single" w:color="000000" w:sz="4" w:space="0"/>
              </w:rPr>
              <w:t>二万</w:t>
            </w:r>
            <w:r>
              <w:rPr>
                <w:rFonts w:hint="eastAsia" w:ascii="黑体" w:hAnsi="黑体" w:eastAsia="黑体" w:cs="宋体"/>
                <w:b/>
                <w:bCs/>
                <w:snapToGrid w:val="0"/>
                <w:color w:val="auto"/>
                <w:sz w:val="24"/>
                <w:szCs w:val="24"/>
                <w:highlight w:val="none"/>
                <w:lang w:val="en-US" w:eastAsia="zh-CN"/>
              </w:rPr>
              <w:t>五千</w:t>
            </w:r>
            <w:r>
              <w:rPr>
                <w:rFonts w:hint="eastAsia" w:ascii="仿宋_GB2312" w:eastAsia="仿宋_GB2312" w:cs="宋体"/>
                <w:snapToGrid w:val="0"/>
                <w:color w:val="auto"/>
                <w:sz w:val="24"/>
                <w:szCs w:val="24"/>
                <w:highlight w:val="none"/>
              </w:rPr>
              <w:t>元以下的罚款</w:t>
            </w:r>
            <w:r>
              <w:rPr>
                <w:rFonts w:hint="eastAsia" w:ascii="仿宋_GB2312" w:eastAsia="仿宋_GB2312" w:cs="宋体"/>
                <w:snapToGrid w:val="0"/>
                <w:color w:val="auto"/>
                <w:sz w:val="24"/>
                <w:szCs w:val="24"/>
                <w:highlight w:val="none"/>
                <w:bdr w:val="single" w:color="000000" w:sz="4" w:space="0"/>
              </w:rPr>
              <w:t>。</w:t>
            </w:r>
            <w:r>
              <w:rPr>
                <w:rFonts w:hint="eastAsia" w:ascii="黑体" w:hAnsi="黑体" w:eastAsia="黑体" w:cs="宋体"/>
                <w:b/>
                <w:bCs/>
                <w:snapToGrid w:val="0"/>
                <w:color w:val="auto"/>
                <w:sz w:val="24"/>
                <w:szCs w:val="24"/>
                <w:highlight w:val="none"/>
                <w:lang w:val="en-US" w:eastAsia="zh-CN"/>
              </w:rPr>
              <w:t>；拒不改正的，处五千元以上二万元以下的罚款。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第五十七条</w:t>
            </w:r>
            <w:r>
              <w:rPr>
                <w:rFonts w:hint="eastAsia" w:ascii="仿宋_GB2312" w:eastAsia="仿宋_GB2312" w:cs="宋体"/>
                <w:snapToGrid w:val="0"/>
                <w:color w:val="auto"/>
                <w:sz w:val="24"/>
                <w:szCs w:val="24"/>
              </w:rPr>
              <w:t xml:space="preserve">  违反本条例第四十一条规定，排放油烟的餐饮服务业经营者未安装油烟净化设施、不正常使用油烟净化设施或者未采取其他油烟净化措施，超过排放标准排放油烟的，按照以下规定予以处罚：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仿宋_GB2312" w:eastAsia="仿宋_GB2312" w:cs="宋体"/>
                <w:snapToGrid w:val="0"/>
                <w:color w:val="auto"/>
                <w:sz w:val="24"/>
                <w:szCs w:val="24"/>
              </w:rPr>
              <w:t>（一）在城市建成区以及其他由市、区（县）人民政府确定实行城镇化管理的区域，由城市管理执法部门责令改正，处五千元以上五万元以下的罚款；拒不改正的，责令停业整治。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snapToGrid w:val="0"/>
                <w:color w:val="auto"/>
                <w:sz w:val="24"/>
                <w:szCs w:val="24"/>
              </w:rPr>
            </w:pPr>
            <w:r>
              <w:rPr>
                <w:rFonts w:hint="eastAsia" w:ascii="仿宋_GB2312" w:eastAsia="仿宋_GB2312" w:cs="宋体"/>
                <w:snapToGrid w:val="0"/>
                <w:color w:val="auto"/>
                <w:sz w:val="24"/>
                <w:szCs w:val="24"/>
              </w:rPr>
              <w:t>（二）其他区域由生态环境主管部门责令改正，处五千元以上五万元以下的罚款；拒不改正的，责令停业整治。</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rFonts w:hint="eastAsia" w:ascii="仿宋_GB2312" w:eastAsia="仿宋_GB2312" w:cs="宋体"/>
                <w:snapToGrid w:val="0"/>
                <w:color w:val="auto"/>
                <w:sz w:val="24"/>
                <w:szCs w:val="24"/>
                <w:highlight w:val="none"/>
              </w:rPr>
            </w:pPr>
            <w:r>
              <w:rPr>
                <w:rFonts w:hint="eastAsia" w:ascii="黑体" w:hAnsi="黑体" w:eastAsia="黑体" w:cs="宋体"/>
                <w:b/>
                <w:bCs/>
                <w:snapToGrid w:val="0"/>
                <w:color w:val="auto"/>
                <w:sz w:val="24"/>
                <w:szCs w:val="24"/>
                <w:highlight w:val="none"/>
                <w:lang w:val="en-US" w:eastAsia="zh-CN"/>
              </w:rPr>
              <w:t>第三十六条</w:t>
            </w:r>
            <w:r>
              <w:rPr>
                <w:rFonts w:hint="eastAsia" w:ascii="黑体" w:hAnsi="黑体" w:eastAsia="黑体" w:cs="宋体"/>
                <w:snapToGrid w:val="0"/>
                <w:color w:val="auto"/>
                <w:sz w:val="24"/>
                <w:szCs w:val="24"/>
                <w:highlight w:val="none"/>
                <w:bdr w:val="single" w:color="000000" w:sz="4" w:space="0"/>
              </w:rPr>
              <w:t>第五十七条</w:t>
            </w:r>
            <w:r>
              <w:rPr>
                <w:rFonts w:hint="eastAsia" w:ascii="仿宋_GB2312" w:eastAsia="仿宋_GB2312" w:cs="宋体"/>
                <w:snapToGrid w:val="0"/>
                <w:color w:val="auto"/>
                <w:sz w:val="24"/>
                <w:szCs w:val="24"/>
                <w:highlight w:val="none"/>
              </w:rPr>
              <w:t xml:space="preserve">  违反本条例</w:t>
            </w:r>
            <w:r>
              <w:rPr>
                <w:rFonts w:hint="eastAsia" w:ascii="仿宋_GB2312" w:eastAsia="仿宋_GB2312" w:cs="宋体"/>
                <w:snapToGrid w:val="0"/>
                <w:color w:val="auto"/>
                <w:sz w:val="24"/>
                <w:szCs w:val="24"/>
                <w:highlight w:val="none"/>
                <w:bdr w:val="single" w:color="000000" w:sz="4" w:space="0"/>
              </w:rPr>
              <w:t>第四十一条</w:t>
            </w:r>
            <w:r>
              <w:rPr>
                <w:rFonts w:hint="eastAsia" w:ascii="黑体" w:hAnsi="黑体" w:eastAsia="黑体" w:cs="黑体"/>
                <w:b/>
                <w:bCs/>
                <w:snapToGrid w:val="0"/>
                <w:color w:val="auto"/>
                <w:sz w:val="24"/>
                <w:szCs w:val="24"/>
                <w:highlight w:val="none"/>
                <w:lang w:val="en-US" w:eastAsia="zh-CN"/>
              </w:rPr>
              <w:t>第二十七条</w:t>
            </w:r>
            <w:r>
              <w:rPr>
                <w:rFonts w:hint="eastAsia" w:ascii="仿宋_GB2312" w:eastAsia="仿宋_GB2312" w:cs="宋体"/>
                <w:snapToGrid w:val="0"/>
                <w:color w:val="auto"/>
                <w:sz w:val="24"/>
                <w:szCs w:val="24"/>
                <w:highlight w:val="none"/>
              </w:rPr>
              <w:t>规定，排放油烟的餐饮服务业经营者未安装油烟净化</w:t>
            </w:r>
            <w:r>
              <w:rPr>
                <w:rFonts w:hint="eastAsia" w:ascii="黑体" w:hAnsi="黑体" w:eastAsia="黑体" w:cs="宋体"/>
                <w:b/>
                <w:bCs/>
                <w:snapToGrid w:val="0"/>
                <w:color w:val="auto"/>
                <w:sz w:val="24"/>
                <w:szCs w:val="24"/>
                <w:highlight w:val="none"/>
              </w:rPr>
              <w:t>等污染防治</w:t>
            </w:r>
            <w:r>
              <w:rPr>
                <w:rFonts w:hint="eastAsia" w:ascii="仿宋_GB2312" w:eastAsia="仿宋_GB2312" w:cs="宋体"/>
                <w:snapToGrid w:val="0"/>
                <w:color w:val="auto"/>
                <w:sz w:val="24"/>
                <w:szCs w:val="24"/>
                <w:highlight w:val="none"/>
              </w:rPr>
              <w:t>设施</w:t>
            </w:r>
            <w:r>
              <w:rPr>
                <w:rFonts w:hint="eastAsia" w:ascii="仿宋_GB2312" w:eastAsia="仿宋_GB2312" w:cs="宋体"/>
                <w:snapToGrid w:val="0"/>
                <w:color w:val="auto"/>
                <w:sz w:val="24"/>
                <w:szCs w:val="24"/>
                <w:highlight w:val="none"/>
                <w:bdr w:val="single" w:color="000000" w:sz="4" w:space="0"/>
              </w:rPr>
              <w:t>、</w:t>
            </w:r>
            <w:r>
              <w:rPr>
                <w:rFonts w:hint="eastAsia" w:ascii="黑体" w:hAnsi="黑体" w:eastAsia="黑体" w:cs="宋体"/>
                <w:b/>
                <w:bCs/>
                <w:snapToGrid w:val="0"/>
                <w:color w:val="auto"/>
                <w:sz w:val="24"/>
                <w:szCs w:val="24"/>
                <w:highlight w:val="none"/>
                <w:lang w:eastAsia="zh-CN"/>
              </w:rPr>
              <w:t>，</w:t>
            </w:r>
            <w:r>
              <w:rPr>
                <w:rFonts w:hint="eastAsia" w:ascii="仿宋_GB2312" w:eastAsia="仿宋_GB2312" w:cs="宋体"/>
                <w:snapToGrid w:val="0"/>
                <w:color w:val="auto"/>
                <w:sz w:val="24"/>
                <w:szCs w:val="24"/>
                <w:highlight w:val="none"/>
                <w:bdr w:val="single" w:color="000000" w:sz="4" w:space="0"/>
              </w:rPr>
              <w:t>不</w:t>
            </w:r>
            <w:r>
              <w:rPr>
                <w:rFonts w:hint="eastAsia" w:ascii="黑体" w:hAnsi="黑体" w:eastAsia="黑体" w:cs="宋体"/>
                <w:b/>
                <w:bCs/>
                <w:snapToGrid w:val="0"/>
                <w:color w:val="auto"/>
                <w:sz w:val="24"/>
                <w:szCs w:val="24"/>
                <w:highlight w:val="none"/>
              </w:rPr>
              <w:t>未保持</w:t>
            </w:r>
            <w:r>
              <w:rPr>
                <w:rFonts w:hint="eastAsia" w:ascii="仿宋_GB2312" w:eastAsia="仿宋_GB2312" w:cs="宋体"/>
                <w:snapToGrid w:val="0"/>
                <w:color w:val="auto"/>
                <w:sz w:val="24"/>
                <w:szCs w:val="24"/>
                <w:highlight w:val="none"/>
              </w:rPr>
              <w:t>正常使用油烟净化</w:t>
            </w:r>
            <w:r>
              <w:rPr>
                <w:rFonts w:hint="eastAsia" w:ascii="黑体" w:hAnsi="黑体" w:eastAsia="黑体" w:cs="宋体"/>
                <w:b/>
                <w:bCs/>
                <w:snapToGrid w:val="0"/>
                <w:color w:val="auto"/>
                <w:sz w:val="24"/>
                <w:szCs w:val="24"/>
                <w:highlight w:val="none"/>
              </w:rPr>
              <w:t>等污染防治</w:t>
            </w:r>
            <w:r>
              <w:rPr>
                <w:rFonts w:hint="eastAsia" w:ascii="仿宋_GB2312" w:eastAsia="仿宋_GB2312" w:cs="宋体"/>
                <w:snapToGrid w:val="0"/>
                <w:color w:val="auto"/>
                <w:sz w:val="24"/>
                <w:szCs w:val="24"/>
                <w:highlight w:val="none"/>
              </w:rPr>
              <w:t>设施</w:t>
            </w:r>
            <w:r>
              <w:rPr>
                <w:rFonts w:hint="eastAsia" w:ascii="黑体" w:hAnsi="黑体" w:eastAsia="黑体" w:cs="宋体"/>
                <w:b/>
                <w:bCs/>
                <w:snapToGrid w:val="0"/>
                <w:color w:val="auto"/>
                <w:sz w:val="24"/>
                <w:szCs w:val="24"/>
                <w:highlight w:val="none"/>
                <w:lang w:eastAsia="zh-CN"/>
              </w:rPr>
              <w:t>，</w:t>
            </w:r>
            <w:r>
              <w:rPr>
                <w:rFonts w:hint="eastAsia" w:ascii="仿宋_GB2312" w:eastAsia="仿宋_GB2312" w:cs="宋体"/>
                <w:snapToGrid w:val="0"/>
                <w:color w:val="auto"/>
                <w:sz w:val="24"/>
                <w:szCs w:val="24"/>
                <w:highlight w:val="none"/>
              </w:rPr>
              <w:t>或者未采取其他油烟净化措施，</w:t>
            </w:r>
            <w:r>
              <w:rPr>
                <w:rFonts w:hint="eastAsia" w:ascii="黑体" w:hAnsi="黑体" w:eastAsia="黑体" w:cs="宋体"/>
                <w:b/>
                <w:bCs/>
                <w:snapToGrid w:val="0"/>
                <w:color w:val="auto"/>
                <w:sz w:val="24"/>
                <w:szCs w:val="24"/>
                <w:highlight w:val="none"/>
              </w:rPr>
              <w:t>致使</w:t>
            </w:r>
            <w:r>
              <w:rPr>
                <w:rFonts w:hint="eastAsia" w:ascii="仿宋_GB2312" w:eastAsia="仿宋_GB2312" w:cs="宋体"/>
                <w:snapToGrid w:val="0"/>
                <w:color w:val="auto"/>
                <w:sz w:val="24"/>
                <w:szCs w:val="24"/>
                <w:highlight w:val="none"/>
              </w:rPr>
              <w:t>超过排放标准排放油烟</w:t>
            </w:r>
            <w:r>
              <w:rPr>
                <w:rFonts w:hint="eastAsia" w:ascii="黑体" w:hAnsi="黑体" w:eastAsia="黑体" w:cs="宋体"/>
                <w:b/>
                <w:bCs/>
                <w:snapToGrid w:val="0"/>
                <w:color w:val="auto"/>
                <w:sz w:val="24"/>
                <w:szCs w:val="24"/>
                <w:highlight w:val="none"/>
              </w:rPr>
              <w:t>污染物</w:t>
            </w:r>
            <w:r>
              <w:rPr>
                <w:rFonts w:hint="eastAsia" w:ascii="仿宋_GB2312" w:eastAsia="仿宋_GB2312" w:cs="宋体"/>
                <w:snapToGrid w:val="0"/>
                <w:color w:val="auto"/>
                <w:sz w:val="24"/>
                <w:szCs w:val="24"/>
                <w:highlight w:val="none"/>
              </w:rPr>
              <w:t>的，按照以下规定予以处罚：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highlight w:val="none"/>
              </w:rPr>
            </w:pPr>
            <w:r>
              <w:rPr>
                <w:rFonts w:hint="eastAsia" w:ascii="仿宋_GB2312" w:eastAsia="仿宋_GB2312" w:cs="宋体"/>
                <w:snapToGrid w:val="0"/>
                <w:color w:val="auto"/>
                <w:sz w:val="24"/>
                <w:szCs w:val="24"/>
                <w:highlight w:val="none"/>
              </w:rPr>
              <w:t>（一）在城市建成区以及其他由市、</w:t>
            </w:r>
            <w:r>
              <w:rPr>
                <w:rFonts w:hint="eastAsia" w:ascii="仿宋_GB2312" w:eastAsia="仿宋_GB2312" w:cs="宋体"/>
                <w:snapToGrid w:val="0"/>
                <w:color w:val="auto"/>
                <w:sz w:val="24"/>
                <w:szCs w:val="24"/>
                <w:bdr w:val="single" w:color="000000" w:sz="4" w:space="0"/>
              </w:rPr>
              <w:t>区（县）</w:t>
            </w:r>
            <w:r>
              <w:rPr>
                <w:rFonts w:hint="eastAsia" w:ascii="黑体" w:hAnsi="黑体" w:eastAsia="黑体" w:cs="宋体"/>
                <w:b/>
                <w:bCs/>
                <w:snapToGrid w:val="0"/>
                <w:color w:val="auto"/>
                <w:sz w:val="24"/>
                <w:szCs w:val="24"/>
                <w:highlight w:val="none"/>
              </w:rPr>
              <w:t>县（区）</w:t>
            </w:r>
            <w:r>
              <w:rPr>
                <w:rFonts w:hint="eastAsia" w:ascii="仿宋_GB2312" w:eastAsia="仿宋_GB2312" w:cs="宋体"/>
                <w:snapToGrid w:val="0"/>
                <w:color w:val="auto"/>
                <w:sz w:val="24"/>
                <w:szCs w:val="24"/>
                <w:highlight w:val="none"/>
              </w:rPr>
              <w:t>人民政府确定实行城镇化管理的区域，由城市管理执法</w:t>
            </w:r>
            <w:r>
              <w:rPr>
                <w:rFonts w:hint="eastAsia" w:ascii="黑体" w:hAnsi="黑体" w:eastAsia="黑体" w:cs="宋体"/>
                <w:b/>
                <w:bCs/>
                <w:snapToGrid w:val="0"/>
                <w:color w:val="auto"/>
                <w:sz w:val="24"/>
                <w:szCs w:val="24"/>
                <w:highlight w:val="none"/>
                <w:lang w:val="en-US" w:eastAsia="zh-CN"/>
              </w:rPr>
              <w:t>主管</w:t>
            </w:r>
            <w:r>
              <w:rPr>
                <w:rFonts w:hint="eastAsia" w:ascii="仿宋_GB2312" w:eastAsia="仿宋_GB2312" w:cs="宋体"/>
                <w:snapToGrid w:val="0"/>
                <w:color w:val="auto"/>
                <w:sz w:val="24"/>
                <w:szCs w:val="24"/>
                <w:highlight w:val="none"/>
              </w:rPr>
              <w:t>部门责令改正，处五千元以上五万元以下的罚款；拒不改正的，责令停业整治。</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color w:val="auto"/>
                <w:sz w:val="24"/>
                <w:szCs w:val="24"/>
                <w:highlight w:val="none"/>
                <w:vertAlign w:val="baseline"/>
              </w:rPr>
            </w:pPr>
            <w:r>
              <w:rPr>
                <w:rFonts w:hint="eastAsia" w:ascii="仿宋_GB2312" w:eastAsia="仿宋_GB2312" w:cs="宋体"/>
                <w:snapToGrid w:val="0"/>
                <w:color w:val="auto"/>
                <w:sz w:val="24"/>
                <w:szCs w:val="24"/>
                <w:highlight w:val="none"/>
              </w:rPr>
              <w:t>（二）其他区域由生态环境主管部门责令改正，处五千元以上五万元以下的罚款；拒不改正的，责令停业整治。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仿宋_GB2312" w:eastAsia="仿宋_GB2312" w:cs="宋体"/>
                <w:snapToGrid w:val="0"/>
                <w:color w:val="auto"/>
                <w:sz w:val="24"/>
                <w:szCs w:val="24"/>
              </w:rPr>
            </w:pPr>
            <w:r>
              <w:rPr>
                <w:rFonts w:hint="eastAsia" w:ascii="黑体" w:hAnsi="黑体" w:eastAsia="黑体" w:cs="宋体"/>
                <w:snapToGrid w:val="0"/>
                <w:color w:val="auto"/>
                <w:sz w:val="24"/>
                <w:szCs w:val="24"/>
              </w:rPr>
              <w:t>第五十八条</w:t>
            </w:r>
            <w:r>
              <w:rPr>
                <w:rFonts w:hint="eastAsia" w:ascii="仿宋_GB2312" w:eastAsia="仿宋_GB2312" w:cs="宋体"/>
                <w:snapToGrid w:val="0"/>
                <w:color w:val="auto"/>
                <w:sz w:val="24"/>
                <w:szCs w:val="24"/>
              </w:rPr>
              <w:t xml:space="preserve">  违反本条例规定的其他行为，法律、法规对法律责任已有规定的，从其规定。</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highlight w:val="none"/>
                <w:vertAlign w:val="baseline"/>
              </w:rPr>
            </w:pPr>
            <w:r>
              <w:rPr>
                <w:rFonts w:hint="eastAsia" w:ascii="黑体" w:hAnsi="黑体" w:eastAsia="黑体" w:cs="宋体"/>
                <w:b/>
                <w:bCs/>
                <w:snapToGrid w:val="0"/>
                <w:color w:val="auto"/>
                <w:sz w:val="24"/>
                <w:szCs w:val="24"/>
                <w:highlight w:val="none"/>
                <w:lang w:val="en-US" w:eastAsia="zh-CN"/>
              </w:rPr>
              <w:t>第三十七条</w:t>
            </w:r>
            <w:r>
              <w:rPr>
                <w:rFonts w:hint="eastAsia" w:ascii="黑体" w:hAnsi="黑体" w:eastAsia="黑体" w:cs="宋体"/>
                <w:snapToGrid w:val="0"/>
                <w:color w:val="auto"/>
                <w:sz w:val="24"/>
                <w:szCs w:val="24"/>
                <w:highlight w:val="none"/>
                <w:bdr w:val="single" w:color="000000" w:sz="4" w:space="0"/>
              </w:rPr>
              <w:t>第五十八条</w:t>
            </w:r>
            <w:r>
              <w:rPr>
                <w:rFonts w:hint="eastAsia" w:ascii="仿宋_GB2312" w:eastAsia="仿宋_GB2312" w:cs="宋体"/>
                <w:snapToGrid w:val="0"/>
                <w:color w:val="auto"/>
                <w:sz w:val="24"/>
                <w:szCs w:val="24"/>
                <w:highlight w:val="none"/>
              </w:rPr>
              <w:t xml:space="preserve">  违反本条例规定的其他行为，法律</w:t>
            </w:r>
            <w:r>
              <w:rPr>
                <w:rFonts w:hint="eastAsia" w:ascii="仿宋_GB2312" w:eastAsia="仿宋_GB2312" w:cs="宋体"/>
                <w:snapToGrid w:val="0"/>
                <w:color w:val="auto"/>
                <w:sz w:val="24"/>
                <w:szCs w:val="24"/>
                <w:highlight w:val="none"/>
                <w:bdr w:val="single" w:color="000000" w:sz="4" w:space="0"/>
              </w:rPr>
              <w:t>、</w:t>
            </w:r>
            <w:r>
              <w:rPr>
                <w:rFonts w:hint="eastAsia" w:ascii="仿宋_GB2312" w:eastAsia="仿宋_GB2312" w:cs="宋体"/>
                <w:snapToGrid w:val="0"/>
                <w:color w:val="auto"/>
                <w:sz w:val="24"/>
                <w:szCs w:val="24"/>
                <w:highlight w:val="none"/>
              </w:rPr>
              <w:t>法规</w:t>
            </w:r>
            <w:r>
              <w:rPr>
                <w:rFonts w:hint="eastAsia" w:ascii="仿宋_GB2312" w:eastAsia="仿宋_GB2312" w:cs="宋体"/>
                <w:snapToGrid w:val="0"/>
                <w:color w:val="auto"/>
                <w:sz w:val="24"/>
                <w:szCs w:val="24"/>
                <w:highlight w:val="none"/>
                <w:bdr w:val="single" w:color="000000" w:sz="4" w:space="0"/>
              </w:rPr>
              <w:t>对</w:t>
            </w:r>
            <w:r>
              <w:rPr>
                <w:rFonts w:hint="eastAsia" w:ascii="黑体" w:hAnsi="黑体" w:eastAsia="黑体" w:cs="宋体"/>
                <w:b/>
                <w:bCs/>
                <w:snapToGrid w:val="0"/>
                <w:color w:val="auto"/>
                <w:sz w:val="24"/>
                <w:szCs w:val="24"/>
                <w:highlight w:val="none"/>
                <w:lang w:val="en-US" w:eastAsia="zh-CN"/>
              </w:rPr>
              <w:t>已有</w:t>
            </w:r>
            <w:r>
              <w:rPr>
                <w:rFonts w:hint="eastAsia" w:ascii="仿宋_GB2312" w:eastAsia="仿宋_GB2312" w:cs="宋体"/>
                <w:snapToGrid w:val="0"/>
                <w:color w:val="auto"/>
                <w:sz w:val="24"/>
                <w:szCs w:val="24"/>
                <w:highlight w:val="none"/>
              </w:rPr>
              <w:t>法律责任</w:t>
            </w:r>
            <w:r>
              <w:rPr>
                <w:rFonts w:hint="eastAsia" w:ascii="仿宋_GB2312" w:eastAsia="仿宋_GB2312" w:cs="宋体"/>
                <w:snapToGrid w:val="0"/>
                <w:color w:val="auto"/>
                <w:sz w:val="24"/>
                <w:szCs w:val="24"/>
                <w:highlight w:val="none"/>
                <w:bdr w:val="single" w:color="000000" w:sz="4" w:space="0"/>
              </w:rPr>
              <w:t>已有</w:t>
            </w:r>
            <w:r>
              <w:rPr>
                <w:rFonts w:hint="eastAsia" w:ascii="仿宋_GB2312" w:eastAsia="仿宋_GB2312" w:cs="宋体"/>
                <w:snapToGrid w:val="0"/>
                <w:color w:val="auto"/>
                <w:sz w:val="24"/>
                <w:szCs w:val="24"/>
                <w:highlight w:val="none"/>
              </w:rPr>
              <w:t>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宋体"/>
                <w:snapToGrid w:val="0"/>
                <w:color w:val="auto"/>
                <w:sz w:val="24"/>
                <w:szCs w:val="24"/>
              </w:rPr>
            </w:pPr>
            <w:r>
              <w:rPr>
                <w:rFonts w:hint="eastAsia" w:ascii="黑体" w:hAnsi="黑体" w:eastAsia="黑体" w:cs="宋体"/>
                <w:snapToGrid w:val="0"/>
                <w:color w:val="auto"/>
                <w:sz w:val="24"/>
                <w:szCs w:val="24"/>
              </w:rPr>
              <w:t>第五章  附  则</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color w:val="auto"/>
                <w:sz w:val="24"/>
                <w:szCs w:val="24"/>
                <w:vertAlign w:val="baseline"/>
              </w:rPr>
            </w:pPr>
            <w:r>
              <w:rPr>
                <w:rFonts w:hint="eastAsia" w:ascii="楷体_GB2312" w:hAnsi="楷体_GB2312" w:eastAsia="楷体_GB2312" w:cs="楷体_GB2312"/>
                <w:kern w:val="2"/>
                <w:sz w:val="24"/>
                <w:szCs w:val="24"/>
                <w:vertAlign w:val="baseline"/>
                <w:lang w:val="en-US" w:eastAsia="zh-CN" w:bidi="ar-SA"/>
              </w:rPr>
              <w:t>（无改动）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47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黑体" w:hAnsi="黑体" w:eastAsia="黑体" w:cs="宋体"/>
                <w:snapToGrid w:val="0"/>
                <w:color w:val="auto"/>
                <w:sz w:val="24"/>
                <w:szCs w:val="24"/>
              </w:rPr>
            </w:pPr>
            <w:r>
              <w:rPr>
                <w:rFonts w:hint="eastAsia" w:ascii="黑体" w:hAnsi="黑体" w:eastAsia="黑体" w:cs="宋体"/>
                <w:snapToGrid w:val="0"/>
                <w:color w:val="auto"/>
                <w:sz w:val="24"/>
                <w:szCs w:val="24"/>
              </w:rPr>
              <w:t>第五十九条</w:t>
            </w:r>
            <w:r>
              <w:rPr>
                <w:rFonts w:hint="eastAsia" w:ascii="仿宋_GB2312" w:eastAsia="仿宋_GB2312"/>
                <w:snapToGrid w:val="0"/>
                <w:color w:val="auto"/>
                <w:sz w:val="24"/>
                <w:szCs w:val="24"/>
              </w:rPr>
              <w:t xml:space="preserve">  </w:t>
            </w:r>
            <w:r>
              <w:rPr>
                <w:rFonts w:hint="eastAsia" w:ascii="仿宋_GB2312" w:eastAsia="仿宋_GB2312" w:cs="宋体"/>
                <w:snapToGrid w:val="0"/>
                <w:color w:val="auto"/>
                <w:sz w:val="24"/>
                <w:szCs w:val="24"/>
              </w:rPr>
              <w:t>本条例自</w:t>
            </w:r>
            <w:r>
              <w:rPr>
                <w:rFonts w:hint="eastAsia" w:ascii="仿宋_GB2312" w:eastAsia="仿宋_GB2312"/>
                <w:snapToGrid w:val="0"/>
                <w:color w:val="auto"/>
                <w:sz w:val="24"/>
                <w:szCs w:val="24"/>
              </w:rPr>
              <w:t>2020</w:t>
            </w:r>
            <w:r>
              <w:rPr>
                <w:rFonts w:hint="eastAsia" w:ascii="仿宋_GB2312" w:eastAsia="仿宋_GB2312" w:cs="宋体"/>
                <w:snapToGrid w:val="0"/>
                <w:color w:val="auto"/>
                <w:sz w:val="24"/>
                <w:szCs w:val="24"/>
              </w:rPr>
              <w:t>年2月</w:t>
            </w:r>
            <w:r>
              <w:rPr>
                <w:rFonts w:hint="eastAsia" w:ascii="仿宋_GB2312" w:eastAsia="仿宋_GB2312"/>
                <w:snapToGrid w:val="0"/>
                <w:color w:val="auto"/>
                <w:sz w:val="24"/>
                <w:szCs w:val="24"/>
              </w:rPr>
              <w:t>1</w:t>
            </w:r>
            <w:r>
              <w:rPr>
                <w:rFonts w:hint="eastAsia" w:ascii="仿宋_GB2312" w:eastAsia="仿宋_GB2312" w:cs="宋体"/>
                <w:snapToGrid w:val="0"/>
                <w:color w:val="auto"/>
                <w:sz w:val="24"/>
                <w:szCs w:val="24"/>
              </w:rPr>
              <w:t>日起施行。</w:t>
            </w:r>
          </w:p>
        </w:tc>
        <w:tc>
          <w:tcPr>
            <w:tcW w:w="47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481" w:firstLineChars="200"/>
              <w:jc w:val="both"/>
              <w:textAlignment w:val="auto"/>
              <w:rPr>
                <w:color w:val="auto"/>
                <w:sz w:val="24"/>
                <w:szCs w:val="24"/>
                <w:vertAlign w:val="baseline"/>
              </w:rPr>
            </w:pPr>
            <w:r>
              <w:rPr>
                <w:rFonts w:hint="eastAsia" w:ascii="黑体" w:hAnsi="黑体" w:eastAsia="黑体" w:cs="宋体"/>
                <w:b/>
                <w:bCs/>
                <w:snapToGrid w:val="0"/>
                <w:color w:val="auto"/>
                <w:sz w:val="24"/>
                <w:szCs w:val="24"/>
                <w:lang w:val="en-US" w:eastAsia="zh-CN"/>
              </w:rPr>
              <w:t>第三十八条</w:t>
            </w:r>
            <w:r>
              <w:rPr>
                <w:rFonts w:hint="eastAsia" w:ascii="黑体" w:hAnsi="黑体" w:eastAsia="黑体" w:cs="宋体"/>
                <w:snapToGrid w:val="0"/>
                <w:color w:val="auto"/>
                <w:sz w:val="24"/>
                <w:szCs w:val="24"/>
                <w:bdr w:val="single" w:color="000000" w:sz="4" w:space="0"/>
              </w:rPr>
              <w:t>第五十九条</w:t>
            </w:r>
            <w:r>
              <w:rPr>
                <w:rFonts w:hint="eastAsia" w:ascii="仿宋_GB2312" w:eastAsia="仿宋_GB2312"/>
                <w:snapToGrid w:val="0"/>
                <w:color w:val="auto"/>
                <w:sz w:val="24"/>
                <w:szCs w:val="24"/>
              </w:rPr>
              <w:t xml:space="preserve">  </w:t>
            </w:r>
            <w:r>
              <w:rPr>
                <w:rFonts w:hint="eastAsia" w:ascii="仿宋_GB2312" w:eastAsia="仿宋_GB2312" w:cs="宋体"/>
                <w:snapToGrid w:val="0"/>
                <w:color w:val="auto"/>
                <w:sz w:val="24"/>
                <w:szCs w:val="24"/>
              </w:rPr>
              <w:t>本条例自202</w:t>
            </w:r>
            <w:r>
              <w:rPr>
                <w:rFonts w:hint="eastAsia" w:ascii="仿宋_GB2312" w:eastAsia="仿宋_GB2312" w:cs="宋体"/>
                <w:snapToGrid w:val="0"/>
                <w:color w:val="auto"/>
                <w:sz w:val="24"/>
                <w:szCs w:val="24"/>
                <w:lang w:val="en-US" w:eastAsia="zh-CN"/>
              </w:rPr>
              <w:t>0</w:t>
            </w:r>
            <w:r>
              <w:rPr>
                <w:rFonts w:hint="eastAsia" w:ascii="仿宋_GB2312" w:eastAsia="仿宋_GB2312" w:cs="宋体"/>
                <w:snapToGrid w:val="0"/>
                <w:color w:val="auto"/>
                <w:sz w:val="24"/>
                <w:szCs w:val="24"/>
              </w:rPr>
              <w:t>年</w:t>
            </w:r>
            <w:r>
              <w:rPr>
                <w:rFonts w:hint="eastAsia" w:ascii="仿宋_GB2312" w:eastAsia="仿宋_GB2312" w:cs="宋体"/>
                <w:snapToGrid w:val="0"/>
                <w:color w:val="auto"/>
                <w:sz w:val="24"/>
                <w:szCs w:val="24"/>
                <w:lang w:val="en-US" w:eastAsia="zh-CN"/>
              </w:rPr>
              <w:t>2</w:t>
            </w:r>
            <w:r>
              <w:rPr>
                <w:rFonts w:hint="eastAsia" w:ascii="仿宋_GB2312" w:eastAsia="仿宋_GB2312" w:cs="宋体"/>
                <w:snapToGrid w:val="0"/>
                <w:color w:val="auto"/>
                <w:sz w:val="24"/>
                <w:szCs w:val="24"/>
              </w:rPr>
              <w:t>月</w:t>
            </w:r>
            <w:r>
              <w:rPr>
                <w:rFonts w:hint="eastAsia" w:ascii="仿宋_GB2312" w:eastAsia="仿宋_GB2312" w:cs="宋体"/>
                <w:snapToGrid w:val="0"/>
                <w:color w:val="auto"/>
                <w:sz w:val="24"/>
                <w:szCs w:val="24"/>
                <w:lang w:val="en-US" w:eastAsia="zh-CN"/>
              </w:rPr>
              <w:t>1</w:t>
            </w:r>
            <w:r>
              <w:rPr>
                <w:rFonts w:hint="eastAsia" w:ascii="仿宋_GB2312" w:eastAsia="仿宋_GB2312" w:cs="宋体"/>
                <w:snapToGrid w:val="0"/>
                <w:color w:val="auto"/>
                <w:sz w:val="24"/>
                <w:szCs w:val="24"/>
              </w:rPr>
              <w:t>日起施行。</w:t>
            </w:r>
          </w:p>
        </w:tc>
      </w:tr>
    </w:tbl>
    <w:p>
      <w:pPr>
        <w:snapToGrid w:val="0"/>
        <w:spacing w:line="580" w:lineRule="exact"/>
        <w:rPr>
          <w:rFonts w:ascii="仿宋_GB2312" w:hAnsi="宋体" w:eastAsia="仿宋_GB2312"/>
          <w:kern w:val="0"/>
          <w:sz w:val="32"/>
          <w:szCs w:val="32"/>
        </w:rPr>
      </w:pPr>
    </w:p>
    <w:p/>
    <w:p>
      <w:pPr>
        <w:jc w:val="both"/>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经典粗宋简">
    <w:panose1 w:val="02010609000101010101"/>
    <w:charset w:val="86"/>
    <w:family w:val="modern"/>
    <w:pitch w:val="default"/>
    <w:sig w:usb0="A1007AEF" w:usb1="F9DF7CFB" w:usb2="0000001E" w:usb3="00000000" w:csb0="2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楷体">
    <w:altName w:val="方正楷体_GBK"/>
    <w:panose1 w:val="02010609060101010101"/>
    <w:charset w:val="00"/>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D7E2E"/>
    <w:rsid w:val="000E2ABF"/>
    <w:rsid w:val="00123ECD"/>
    <w:rsid w:val="001D7E2E"/>
    <w:rsid w:val="00226E11"/>
    <w:rsid w:val="003A05B4"/>
    <w:rsid w:val="003B605F"/>
    <w:rsid w:val="00616EFB"/>
    <w:rsid w:val="009D3184"/>
    <w:rsid w:val="00E41AD6"/>
    <w:rsid w:val="00F632A6"/>
    <w:rsid w:val="36357D0F"/>
    <w:rsid w:val="592464DB"/>
    <w:rsid w:val="67FBD979"/>
    <w:rsid w:val="DD7D4DA1"/>
    <w:rsid w:val="DD7E8DAF"/>
    <w:rsid w:val="E777D8A7"/>
    <w:rsid w:val="E7FF613D"/>
    <w:rsid w:val="F7F7A06B"/>
    <w:rsid w:val="FDFFF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val="0"/>
      <w:spacing w:after="120"/>
      <w:ind w:left="420" w:leftChars="200" w:firstLine="420" w:firstLineChars="200"/>
      <w:jc w:val="both"/>
      <w:textAlignment w:val="baseline"/>
    </w:pPr>
    <w:rPr>
      <w:rFonts w:ascii="Calibri" w:hAnsi="Calibri" w:eastAsia="宋体" w:cs="Times New Roman"/>
      <w:kern w:val="2"/>
      <w:sz w:val="32"/>
      <w:szCs w:val="22"/>
      <w:lang w:val="en-US" w:eastAsia="zh-CN" w:bidi="ar-SA"/>
    </w:r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52</Words>
  <Characters>297</Characters>
  <Lines>2</Lines>
  <Paragraphs>1</Paragraphs>
  <TotalTime>0</TotalTime>
  <ScaleCrop>false</ScaleCrop>
  <LinksUpToDate>false</LinksUpToDate>
  <CharactersWithSpaces>348</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2017-09-27T08:47:00Z</dcterms:created>
  <dc:creator>rd11</dc:creator>
  <cp:lastModifiedBy>ft807</cp:lastModifiedBy>
  <cp:lastPrinted>2026-03-26T17:27:00Z</cp:lastPrinted>
  <dcterms:modified xsi:type="dcterms:W3CDTF">2026-07-13T16:12:49Z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